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jc w:val="center"/>
      </w:pPr>
      <w:r>
        <w:rPr>
          <w:rFonts w:ascii="Aptos Display" w:hAnsi="Aptos Display"/>
          <w:b/>
          <w:sz w:val="54"/>
        </w:rPr>
        <w:t>WORLD ATLAS OF</w:t>
        <w:br/>
        <w:t>COHERENCE EQUATIONS</w:t>
      </w:r>
    </w:p>
    <w:p>
      <w:pPr>
        <w:keepNext w:val="0"/>
        <w:spacing w:after="30"/>
        <w:jc w:val="center"/>
      </w:pPr>
      <w:r>
        <w:rPr>
          <w:rFonts w:ascii="Noto Sans CJK SC" w:hAnsi="Noto Sans CJK SC" w:eastAsia="Noto Sans CJK SC"/>
          <w:b w:val="0"/>
          <w:i w:val="0"/>
          <w:sz w:val="18"/>
        </w:rPr>
        <w:t>中文 — 世界相干性方程图谱</w:t>
      </w:r>
    </w:p>
    <w:p>
      <w:pPr>
        <w:keepNext w:val="0"/>
        <w:spacing w:after="30"/>
        <w:jc w:val="center"/>
      </w:pPr>
      <w:r>
        <w:rPr>
          <w:rFonts w:ascii="Aptos" w:hAnsi="Aptos"/>
          <w:b w:val="0"/>
          <w:i w:val="0"/>
          <w:sz w:val="18"/>
        </w:rPr>
        <w:t>Español — ATLAS MUNDIAL DE ECUACIONES DE COHERENCIA</w:t>
      </w:r>
    </w:p>
    <w:p>
      <w:pPr>
        <w:keepNext w:val="0"/>
        <w:spacing w:after="30"/>
        <w:jc w:val="center"/>
      </w:pPr>
      <w:r>
        <w:rPr>
          <w:rFonts w:ascii="Noto Sans Devanagari" w:hAnsi="Noto Sans Devanagari"/>
          <w:b w:val="0"/>
          <w:i w:val="0"/>
          <w:sz w:val="18"/>
        </w:rPr>
        <w:t>हिन्दी — सुसंगतता समीकरणों का विश्व एटलस</w:t>
      </w:r>
    </w:p>
    <w:p>
      <w:pPr>
        <w:spacing w:after="30"/>
        <w:jc w:val="right"/>
        <w:keepNext w:val="0"/>
        <w:bidi w:val="1"/>
      </w:pPr>
      <w:r>
        <w:rPr>
          <w:rFonts w:ascii="Noto Sans Arabic" w:hAnsi="Noto Sans Arabic"/>
          <w:b w:val="0"/>
          <w:i w:val="0"/>
          <w:sz w:val="18"/>
        </w:rPr>
        <w:t>العربية — الأطلس العالمي لمعادلات الاتساق</w:t>
      </w:r>
    </w:p>
    <w:p>
      <w:pPr>
        <w:keepNext w:val="0"/>
        <w:spacing w:after="30"/>
        <w:jc w:val="center"/>
      </w:pPr>
      <w:r>
        <w:rPr>
          <w:rFonts w:ascii="Aptos" w:hAnsi="Aptos"/>
          <w:b w:val="0"/>
          <w:i w:val="0"/>
          <w:sz w:val="18"/>
        </w:rPr>
        <w:t>Français — ATLAS MONDIAL DES ÉQUATIONS DE COHÉRENCE</w:t>
      </w:r>
    </w:p>
    <w:p>
      <w:pPr>
        <w:jc w:val="center"/>
      </w:pPr>
      <w:r>
        <w:rPr>
          <w:i/>
          <w:color w:val="46606E"/>
          <w:sz w:val="24"/>
        </w:rPr>
        <w:t>Phenomenal coherence, persistence, admissibility, synchronization, kinematics, and canonical forms</w:t>
      </w:r>
    </w:p>
    <w:p>
      <w:pPr>
        <w:spacing w:before="140" w:after="80"/>
        <w:jc w:val="center"/>
      </w:pPr>
      <w:r>
        <w:rPr>
          <w:rFonts w:ascii="Cambria Math" w:hAnsi="Cambria Math"/>
          <w:b/>
          <w:sz w:val="26"/>
        </w:rPr>
        <w:t>S = (β × ΔΦ) / (T × σ × 1)</w:t>
      </w:r>
    </w:p>
    <w:p>
      <w:pPr>
        <w:pStyle w:val="Caption"/>
        <w:jc w:val="center"/>
      </w:pPr>
      <w:r>
        <w:t>Zoran working canonical gauge, 26 August 2026. The ×1 factor is mathematically neutral.</w:t>
      </w:r>
    </w:p>
    <w:p>
      <w:pPr>
        <w:spacing w:before="360"/>
        <w:jc w:val="center"/>
      </w:pPr>
      <w:r>
        <w:rPr>
          <w:b/>
          <w:sz w:val="22"/>
        </w:rPr>
        <w:t>Frédéric Tabary — Institut IA / Zoran Research Framework</w:t>
      </w:r>
    </w:p>
    <w:p>
      <w:pPr>
        <w:jc w:val="center"/>
      </w:pPr>
      <w:r>
        <w:t>Version 0.10 — Pass 9 of 10: preregistration seal, executable ablation, empirical access gate, and final prior-art narrowing | 26 August 2026 — Working comparative preprint</w:t>
      </w:r>
    </w:p>
    <w:p>
      <w:pPr>
        <w:spacing w:before="360"/>
        <w:jc w:val="center"/>
      </w:pPr>
      <w:r>
        <w:rPr>
          <w:b/>
        </w:rPr>
        <w:t>Purpose</w:t>
      </w:r>
      <w:r>
        <w:br/>
        <w:t>To build a cumulative, non-exclusive map of mathematical forms of coherence; credit prior work at the level it actually establishes; and test whether apparently distinct formulations can be related without erasing their domain, assumptions, or historical priority.</w:t>
      </w:r>
    </w:p>
    <w:p>
      <w:r>
        <w:br w:type="page"/>
      </w:r>
    </w:p>
    <w:p>
      <w:pPr>
        <w:pStyle w:val="Heading1"/>
        <w:keepNext/>
        <w:keepLines/>
        <w:spacing w:after="60"/>
      </w:pPr>
      <w:r>
        <w:rPr>
          <w:rFonts w:ascii="Aptos" w:hAnsi="Aptos"/>
          <w:b/>
          <w:i w:val="0"/>
          <w:sz w:val="30"/>
        </w:rPr>
        <w:t>Multilingual discovery layer / Couche multilingue de repérage</w:t>
      </w:r>
    </w:p>
    <w:p>
      <w:pPr>
        <w:pStyle w:val="Heading2"/>
        <w:keepNext/>
        <w:keepLines/>
        <w:spacing w:after="60"/>
      </w:pPr>
      <w:r>
        <w:rPr>
          <w:rFonts w:ascii="Aptos" w:hAnsi="Aptos"/>
          <w:b/>
          <w:i w:val="0"/>
          <w:sz w:val="24"/>
        </w:rPr>
        <w:t>Canonical citation identity</w:t>
      </w:r>
    </w:p>
    <w:p>
      <w:pPr>
        <w:spacing w:after="60"/>
      </w:pPr>
      <w:r>
        <w:t>Canonical title: World Atlas of Coherence Equations.  Author: Frédéric Tabary.  Affiliation: Institut IA / Zoran Research Framework.  ORCID: 0009-0004-5562-7385.  Version: 0.10, Pass 9/10.  Date of this working edition: 26 August 2026.</w:t>
      </w:r>
    </w:p>
    <w:p>
      <w:pPr>
        <w:pStyle w:val="Heading2"/>
        <w:keepNext/>
        <w:keepLines/>
        <w:spacing w:after="40"/>
      </w:pPr>
      <w:r>
        <w:rPr>
          <w:rFonts w:ascii="Aptos" w:hAnsi="Aptos"/>
          <w:b/>
          <w:i w:val="0"/>
          <w:sz w:val="22"/>
        </w:rPr>
        <w:t>English — Abstract / description</w:t>
      </w:r>
    </w:p>
    <w:p>
      <w:pPr>
        <w:spacing w:after="100"/>
      </w:pPr>
      <w:r>
        <w:t>This working atlas compares mathematical formulations of coherence across physics, biology, information, admissibility, persistence and artificial intelligence. Pass 9 seals a domain-specific proxy map before outcome inspection for NASA C-MAPSS FD001, records the confirmatory track as blocked rather than inventing results when complete executable bytes cannot be acquired, executes a six-component audit-harness ablation, closes the public π/μ implementation status, and narrows the final exact-conjunction prior-art question. Metadata conflicts remain explicit publication blockers.</w:t>
      </w:r>
    </w:p>
    <w:p>
      <w:pPr>
        <w:pStyle w:val="Heading2"/>
        <w:keepNext/>
        <w:keepLines/>
        <w:spacing w:after="40"/>
      </w:pPr>
      <w:r>
        <w:rPr>
          <w:rFonts w:ascii="Noto Sans CJK SC" w:hAnsi="Noto Sans CJK SC" w:eastAsia="Noto Sans CJK SC"/>
          <w:b/>
          <w:i w:val="0"/>
          <w:sz w:val="22"/>
        </w:rPr>
        <w:t>中文 — 摘要 / 说明</w:t>
      </w:r>
    </w:p>
    <w:p>
      <w:pPr>
        <w:spacing w:after="100"/>
      </w:pPr>
      <w:r>
        <w:t>本工作图谱比较物理学、生物学、信息科学、可接受性、持续性与人工智能中的相干性数学形式。第9轮在查看结果前为 NASA C-MAPSS FD001 封存了领域代理映射；当完整数据无法进入执行环境时，确认性测试被标记为“未测量/受阻”，而不是补造结果。该轮还执行了六组件消融测试，关闭公开 π/μ 实现状态，并进一步缩小最终组合先例检索范围。元数据冲突仍是发布阻断项。</w:t>
      </w:r>
    </w:p>
    <w:p>
      <w:pPr>
        <w:pStyle w:val="Heading2"/>
        <w:keepNext/>
        <w:keepLines/>
        <w:spacing w:after="40"/>
      </w:pPr>
      <w:r>
        <w:rPr>
          <w:rFonts w:ascii="Aptos" w:hAnsi="Aptos"/>
          <w:b/>
          <w:i w:val="0"/>
          <w:sz w:val="22"/>
        </w:rPr>
        <w:t>Español — Resumen / descripción</w:t>
      </w:r>
    </w:p>
    <w:p>
      <w:pPr>
        <w:spacing w:after="100"/>
      </w:pPr>
      <w:r>
        <w:t>Este atlas de trabajo compara formulaciones matemáticas de la coherencia en física, biología, información, admisibilidad, persistencia e inteligencia artificial. La Pass 9 sella antes de observar resultados un mapa de proxies específico para NASA C-MAPSS FD001; si los bytes completos no pueden entrar en el entorno de ejecución, el ensayo confirmatorio queda BLOQUEADO/NON_MESURÉ en vez de fabricarse. También ejecuta la ablación de seis componentes, cierra el estado público de π/μ y estrecha la búsqueda final de anterioridad combinatoria.</w:t>
      </w:r>
    </w:p>
    <w:p>
      <w:pPr>
        <w:pStyle w:val="Heading2"/>
        <w:keepNext/>
        <w:keepLines/>
        <w:spacing w:after="40"/>
      </w:pPr>
      <w:r>
        <w:rPr>
          <w:rFonts w:ascii="Noto Sans Devanagari" w:hAnsi="Noto Sans Devanagari"/>
          <w:b/>
          <w:i w:val="0"/>
          <w:sz w:val="22"/>
        </w:rPr>
        <w:t>हिन्दी — सारांश / विवरण</w:t>
      </w:r>
    </w:p>
    <w:p>
      <w:pPr>
        <w:spacing w:after="100"/>
      </w:pPr>
      <w:r>
        <w:t>यह कार्यशील एटलस भौतिकी, जीवविज्ञान, सूचना, ग्राह्यता, स्थायित्व और कृत्रिम बुद्धिमत्ता में सुसंगतता के गणितीय रूपों की तुलना करता है। पास 9 परिणाम देखने से पहले NASA C-MAPSS FD001 के लिए domain-specific proxy map को SHA-512 से सील करता है। पूर्ण डेटा execution runtime में न आने पर confirmatory test को BLOCKED/NON_MESURÉ रखा गया है, कोई परिणाम गढ़ा नहीं गया। छह-घटक executable ablation, सार्वजनिक π/μ स्थिति और अंतिम prior-art narrowing भी जोड़े गए हैं।</w:t>
      </w:r>
    </w:p>
    <w:p>
      <w:pPr>
        <w:pStyle w:val="Heading2"/>
        <w:keepNext/>
        <w:keepLines/>
        <w:bidi w:val="1"/>
        <w:spacing w:after="40"/>
        <w:jc w:val="right"/>
      </w:pPr>
      <w:r>
        <w:rPr>
          <w:rFonts w:ascii="Noto Sans Arabic" w:hAnsi="Noto Sans Arabic"/>
          <w:b/>
          <w:i w:val="0"/>
          <w:sz w:val="22"/>
        </w:rPr>
        <w:t>العربية — الملخص / الوصف</w:t>
      </w:r>
    </w:p>
    <w:p>
      <w:pPr>
        <w:bidi w:val="1"/>
        <w:spacing w:after="100"/>
        <w:jc w:val="right"/>
      </w:pPr>
      <w:r>
        <w:t>يقارن هذا الأطلس البحثي الصيغ الرياضية للاتساق والتماسك في الفيزياء والأحياء والمعلومات وقابلية القبول والاستمرارية والذكاء الاصطناعي. في المرحلة التاسعة ثُبّتت خريطة وكلاء خاصة بمجموعة NASA C-MAPSS FD001 قبل فحص النتائج وخُتمت بـ SHA-512. وعندما تعذر إدخال الملف الكامل إلى بيئة التنفيذ سُجل الاختبار التأكيدي على أنه محجوب وغير مقاس بدلاً من اختلاق نتيجة. كما نُفذت اختبارات حذف لستة مكونات وأُغلق وضع التنفيذ العام لـ π/μ وضُيّق بحث الأسبقية النهائي.</w:t>
      </w:r>
    </w:p>
    <w:p>
      <w:pPr>
        <w:pStyle w:val="Heading2"/>
        <w:keepNext/>
        <w:keepLines/>
        <w:spacing w:after="40"/>
      </w:pPr>
      <w:r>
        <w:rPr>
          <w:rFonts w:ascii="Aptos" w:hAnsi="Aptos"/>
          <w:b/>
          <w:i w:val="0"/>
          <w:sz w:val="22"/>
        </w:rPr>
        <w:t>Français — Résumé / descriptif</w:t>
      </w:r>
    </w:p>
    <w:p>
      <w:pPr>
        <w:spacing w:after="100"/>
      </w:pPr>
      <w:r>
        <w:t>Cet atlas de travail compare les formulations mathématiques de la cohérence en physique, biologie, information, admissibilité, persistance et intelligence artificielle. La Pass 9 scelle avant observation des résultats une cartographie de proxies propre à NASA C-MAPSS FD001 ; lorsque les octets complets ne peuvent pas être acquis dans le runtime d’exécution, la piste confirmatoire est déclarée BLOQUÉE/NON_MESURÉE plutôt que reconstruite. La passe exécute aussi l’ablation des six composants, clôt l’état public de π/μ et resserre la recherche d’antériorité de la conjonction fixe.</w:t>
      </w:r>
    </w:p>
    <w:p>
      <w:pPr>
        <w:pStyle w:val="Heading2"/>
        <w:keepNext/>
        <w:keepLines/>
        <w:spacing w:after="60"/>
      </w:pPr>
      <w:r>
        <w:rPr>
          <w:rFonts w:ascii="Aptos" w:hAnsi="Aptos"/>
          <w:b/>
          <w:i w:val="0"/>
          <w:sz w:val="24"/>
        </w:rPr>
        <w:t>Contents map by language / Sommaire par langue</w:t>
      </w:r>
    </w:p>
    <w:tbl>
      <w:tblPr>
        <w:tblStyle w:val="TableGrid"/>
        <w:tblW w:type="auto" w:w="0"/>
        <w:jc w:val="center"/>
        <w:tblLook w:firstColumn="1" w:firstRow="1" w:lastColumn="0" w:lastRow="0" w:noHBand="0" w:noVBand="1" w:val="04A0"/>
      </w:tblPr>
      <w:tblGrid>
        <w:gridCol w:w="4874"/>
        <w:gridCol w:w="4874"/>
      </w:tblGrid>
      <w:tr>
        <w:trPr>
          <w:tblHeader w:val="true"/>
        </w:trPr>
        <w:tc>
          <w:tcPr>
            <w:tcW w:type="dxa" w:w="4874"/>
            <w:shd w:fill="D9EAF7"/>
            <w:vAlign w:val="center"/>
            <w:tcMar>
              <w:top w:w="80" w:type="dxa"/>
              <w:start w:w="80" w:type="dxa"/>
              <w:bottom w:w="80" w:type="dxa"/>
              <w:end w:w="80" w:type="dxa"/>
            </w:tcMar>
          </w:tcPr>
          <w:p>
            <w:pPr>
              <w:jc w:val="center"/>
            </w:pPr>
            <w:r>
              <w:rPr>
                <w:rFonts w:ascii="Aptos" w:hAnsi="Aptos"/>
                <w:b/>
                <w:sz w:val="16"/>
              </w:rPr>
              <w:t>Language / Langue</w:t>
            </w:r>
          </w:p>
        </w:tc>
        <w:tc>
          <w:tcPr>
            <w:tcW w:type="dxa" w:w="4874"/>
            <w:shd w:fill="D9EAF7"/>
            <w:vAlign w:val="center"/>
            <w:tcMar>
              <w:top w:w="80" w:type="dxa"/>
              <w:start w:w="80" w:type="dxa"/>
              <w:bottom w:w="80" w:type="dxa"/>
              <w:end w:w="80" w:type="dxa"/>
            </w:tcMar>
          </w:tcPr>
          <w:p>
            <w:pPr>
              <w:jc w:val="center"/>
            </w:pPr>
            <w:r>
              <w:rPr>
                <w:rFonts w:ascii="Aptos" w:hAnsi="Aptos"/>
                <w:b/>
                <w:sz w:val="16"/>
              </w:rPr>
              <w:t>Localized contents map / Sommaire localisé</w:t>
            </w:r>
          </w:p>
        </w:tc>
      </w:tr>
      <w:tr>
        <w:tc>
          <w:tcPr>
            <w:tcW w:type="dxa" w:w="4874"/>
            <w:tcMar>
              <w:top w:w="80" w:type="dxa"/>
              <w:start w:w="80" w:type="dxa"/>
              <w:bottom w:w="80" w:type="dxa"/>
              <w:end w:w="80" w:type="dxa"/>
            </w:tcMar>
            <w:vAlign w:val="top"/>
          </w:tcPr>
          <w:p>
            <w:pPr>
              <w:spacing w:after="0"/>
            </w:pPr>
            <w:r>
              <w:rPr>
                <w:rFonts w:ascii="Aptos" w:hAnsi="Aptos"/>
                <w:sz w:val="16"/>
              </w:rPr>
              <w:t>English</w:t>
            </w:r>
          </w:p>
        </w:tc>
        <w:tc>
          <w:tcPr>
            <w:tcW w:type="dxa" w:w="4874"/>
            <w:tcMar>
              <w:top w:w="80" w:type="dxa"/>
              <w:start w:w="80" w:type="dxa"/>
              <w:bottom w:w="80" w:type="dxa"/>
              <w:end w:w="80" w:type="dxa"/>
            </w:tcMar>
            <w:vAlign w:val="top"/>
          </w:tcPr>
          <w:p>
            <w:pPr>
              <w:spacing w:after="0"/>
            </w:pPr>
            <w:r>
              <w:rPr>
                <w:rFonts w:ascii="Aptos" w:hAnsi="Aptos"/>
                <w:sz w:val="16"/>
              </w:rPr>
              <w:t>Abstract; global registry; Zoran mathematical evolution; relation certificates; pre-Paton trajectory audit; AI-assisted science priority audit; indexing architecture; references.</w:t>
            </w:r>
          </w:p>
        </w:tc>
      </w:tr>
      <w:tr>
        <w:tc>
          <w:tcPr>
            <w:tcW w:type="dxa" w:w="4874"/>
            <w:tcMar>
              <w:top w:w="80" w:type="dxa"/>
              <w:start w:w="80" w:type="dxa"/>
              <w:bottom w:w="80" w:type="dxa"/>
              <w:end w:w="80" w:type="dxa"/>
            </w:tcMar>
            <w:vAlign w:val="top"/>
          </w:tcPr>
          <w:p>
            <w:pPr>
              <w:spacing w:after="0"/>
            </w:pPr>
            <w:r>
              <w:rPr>
                <w:rFonts w:ascii="Aptos" w:hAnsi="Aptos"/>
                <w:sz w:val="16"/>
              </w:rPr>
              <w:t>中文</w:t>
            </w:r>
          </w:p>
        </w:tc>
        <w:tc>
          <w:tcPr>
            <w:tcW w:type="dxa" w:w="4874"/>
            <w:tcMar>
              <w:top w:w="80" w:type="dxa"/>
              <w:start w:w="80" w:type="dxa"/>
              <w:bottom w:w="80" w:type="dxa"/>
              <w:end w:w="80" w:type="dxa"/>
            </w:tcMar>
            <w:vAlign w:val="top"/>
          </w:tcPr>
          <w:p>
            <w:pPr>
              <w:spacing w:after="0"/>
            </w:pPr>
            <w:r>
              <w:rPr>
                <w:rFonts w:ascii="Aptos" w:hAnsi="Aptos"/>
                <w:sz w:val="16"/>
              </w:rPr>
              <w:t>摘要；全球谱系登记；Zoran 数学演化；关系证书；Paton 之前的轨迹审计；AI 辅助科学优先权审计；索引架构；参考文献。</w:t>
            </w:r>
          </w:p>
        </w:tc>
      </w:tr>
      <w:tr>
        <w:tc>
          <w:tcPr>
            <w:tcW w:type="dxa" w:w="4874"/>
            <w:tcMar>
              <w:top w:w="80" w:type="dxa"/>
              <w:start w:w="80" w:type="dxa"/>
              <w:bottom w:w="80" w:type="dxa"/>
              <w:end w:w="80" w:type="dxa"/>
            </w:tcMar>
            <w:vAlign w:val="top"/>
          </w:tcPr>
          <w:p>
            <w:pPr>
              <w:spacing w:after="0"/>
            </w:pPr>
            <w:r>
              <w:rPr>
                <w:rFonts w:ascii="Aptos" w:hAnsi="Aptos"/>
                <w:sz w:val="16"/>
              </w:rPr>
              <w:t>Español</w:t>
            </w:r>
          </w:p>
        </w:tc>
        <w:tc>
          <w:tcPr>
            <w:tcW w:type="dxa" w:w="4874"/>
            <w:tcMar>
              <w:top w:w="80" w:type="dxa"/>
              <w:start w:w="80" w:type="dxa"/>
              <w:bottom w:w="80" w:type="dxa"/>
              <w:end w:w="80" w:type="dxa"/>
            </w:tcMar>
            <w:vAlign w:val="top"/>
          </w:tcPr>
          <w:p>
            <w:pPr>
              <w:spacing w:after="0"/>
            </w:pPr>
            <w:r>
              <w:rPr>
                <w:rFonts w:ascii="Aptos" w:hAnsi="Aptos"/>
                <w:sz w:val="16"/>
              </w:rPr>
              <w:t>Resumen; registro mundial; evolución matemática de Zoran; certificados de relación; auditoría de trayectorias pre-Paton; prioridad de ciencia asistida por IA; arquitectura de indexación; referencias.</w:t>
            </w:r>
          </w:p>
        </w:tc>
      </w:tr>
      <w:tr>
        <w:tc>
          <w:tcPr>
            <w:tcW w:type="dxa" w:w="4874"/>
            <w:tcMar>
              <w:top w:w="80" w:type="dxa"/>
              <w:start w:w="80" w:type="dxa"/>
              <w:bottom w:w="80" w:type="dxa"/>
              <w:end w:w="80" w:type="dxa"/>
            </w:tcMar>
            <w:vAlign w:val="top"/>
          </w:tcPr>
          <w:p>
            <w:pPr>
              <w:spacing w:after="0"/>
            </w:pPr>
            <w:r>
              <w:rPr>
                <w:rFonts w:ascii="Aptos" w:hAnsi="Aptos"/>
                <w:sz w:val="16"/>
              </w:rPr>
              <w:t>हिन्दी</w:t>
            </w:r>
          </w:p>
        </w:tc>
        <w:tc>
          <w:tcPr>
            <w:tcW w:type="dxa" w:w="4874"/>
            <w:tcMar>
              <w:top w:w="80" w:type="dxa"/>
              <w:start w:w="80" w:type="dxa"/>
              <w:bottom w:w="80" w:type="dxa"/>
              <w:end w:w="80" w:type="dxa"/>
            </w:tcMar>
            <w:vAlign w:val="top"/>
          </w:tcPr>
          <w:p>
            <w:pPr>
              <w:spacing w:after="0"/>
            </w:pPr>
            <w:r>
              <w:rPr>
                <w:rFonts w:ascii="Aptos" w:hAnsi="Aptos"/>
                <w:sz w:val="16"/>
              </w:rPr>
              <w:t>सारांश; वैश्विक रजिस्ट्री; Zoran का गणितीय विकास; संबंध प्रमाणपत्र; Paton-पूर्व पथ/ट्राजेक्टरी ऑडिट; AI-सहायित विज्ञान प्राथमिकता; इंडेक्सिंग आर्किटेक्चर; संदर्भ।</w:t>
            </w:r>
          </w:p>
        </w:tc>
      </w:tr>
      <w:tr>
        <w:tc>
          <w:tcPr>
            <w:tcW w:type="dxa" w:w="4874"/>
            <w:tcMar>
              <w:top w:w="80" w:type="dxa"/>
              <w:start w:w="80" w:type="dxa"/>
              <w:bottom w:w="80" w:type="dxa"/>
              <w:end w:w="80" w:type="dxa"/>
            </w:tcMar>
            <w:vAlign w:val="top"/>
          </w:tcPr>
          <w:p>
            <w:pPr>
              <w:spacing w:after="0"/>
            </w:pPr>
            <w:r>
              <w:rPr>
                <w:rFonts w:ascii="Aptos" w:hAnsi="Aptos"/>
                <w:sz w:val="16"/>
              </w:rPr>
              <w:t>العربية</w:t>
            </w:r>
          </w:p>
        </w:tc>
        <w:tc>
          <w:tcPr>
            <w:tcW w:type="dxa" w:w="4874"/>
            <w:tcMar>
              <w:top w:w="80" w:type="dxa"/>
              <w:start w:w="80" w:type="dxa"/>
              <w:bottom w:w="80" w:type="dxa"/>
              <w:end w:w="80" w:type="dxa"/>
            </w:tcMar>
            <w:vAlign w:val="top"/>
          </w:tcPr>
          <w:p>
            <w:pPr>
              <w:bidi w:val="1"/>
              <w:jc w:val="right"/>
            </w:pPr>
            <w:r>
              <w:rPr>
                <w:rFonts w:ascii="Noto Sans Arabic" w:hAnsi="Noto Sans Arabic"/>
                <w:sz w:val="16"/>
              </w:rPr>
              <w:t>الملخص؛ السجل العالمي؛ التطور الرياضي لزورن؛ شهادات العلاقات؛ تدقيق المسارات قبل باتون؛ أسبقية العلم المدعوم بالذكاء الاصطناعي؛ بنية الفهرسة؛ المراجع.</w:t>
            </w:r>
          </w:p>
        </w:tc>
      </w:tr>
      <w:tr>
        <w:tc>
          <w:tcPr>
            <w:tcW w:type="dxa" w:w="4874"/>
            <w:tcMar>
              <w:top w:w="80" w:type="dxa"/>
              <w:start w:w="80" w:type="dxa"/>
              <w:bottom w:w="80" w:type="dxa"/>
              <w:end w:w="80" w:type="dxa"/>
            </w:tcMar>
            <w:vAlign w:val="top"/>
          </w:tcPr>
          <w:p>
            <w:pPr>
              <w:spacing w:after="0"/>
            </w:pPr>
            <w:r>
              <w:rPr>
                <w:rFonts w:ascii="Aptos" w:hAnsi="Aptos"/>
                <w:sz w:val="16"/>
              </w:rPr>
              <w:t>Français</w:t>
            </w:r>
          </w:p>
        </w:tc>
        <w:tc>
          <w:tcPr>
            <w:tcW w:type="dxa" w:w="4874"/>
            <w:tcMar>
              <w:top w:w="80" w:type="dxa"/>
              <w:start w:w="80" w:type="dxa"/>
              <w:bottom w:w="80" w:type="dxa"/>
              <w:end w:w="80" w:type="dxa"/>
            </w:tcMar>
            <w:vAlign w:val="top"/>
          </w:tcPr>
          <w:p>
            <w:pPr>
              <w:spacing w:after="0"/>
            </w:pPr>
            <w:r>
              <w:rPr>
                <w:rFonts w:ascii="Aptos" w:hAnsi="Aptos"/>
                <w:sz w:val="16"/>
              </w:rPr>
              <w:t>Résumé ; registre mondial ; évolution mathématique de Zoran ; certificats de relation ; audit des trajectoires pré-Paton ; priorité de la science assistée par IA ; architecture d’indexation ; références.</w:t>
            </w:r>
          </w:p>
        </w:tc>
      </w:tr>
    </w:tbl>
    <w:p>
      <w:pPr>
        <w:pStyle w:val="Heading2"/>
        <w:keepNext/>
        <w:keepLines/>
        <w:spacing w:after="60"/>
      </w:pPr>
      <w:r>
        <w:rPr>
          <w:rFonts w:ascii="Aptos" w:hAnsi="Aptos"/>
          <w:b/>
          <w:i w:val="0"/>
          <w:sz w:val="23"/>
        </w:rPr>
        <w:t>Search and indexing keywords</w:t>
      </w:r>
    </w:p>
    <w:p>
      <w:pPr>
        <w:spacing w:after="60"/>
      </w:pPr>
      <w:r>
        <w:rPr>
          <w:rFonts w:ascii="Aptos" w:hAnsi="Aptos"/>
          <w:b w:val="0"/>
          <w:i w:val="0"/>
          <w:sz w:val="17"/>
        </w:rPr>
        <w:t>phenomenal coherence; coherence equations; admissibility; persistence; reachability; coherent trajectories; AI-assisted science; automated falsification; LLM agents; symbolic regression; autonomous science; formal safety gate; non-compensatory decision; ProofChain; Zoran; S = (β × ΔΦ) / (T × σ × 1)</w:t>
      </w:r>
    </w:p>
    <w:p>
      <w:pPr>
        <w:pStyle w:val="Heading1"/>
        <w:keepNext/>
        <w:keepLines/>
      </w:pPr>
      <w:r>
        <w:t>Abstract</w:t>
      </w:r>
    </w:p>
    <w:p>
      <w:r>
        <w:rPr>
          <w:b/>
        </w:rPr>
        <w:t xml:space="preserve">This White Paper treats coherence as a family of scientific objects rather than as a single proprietary concept. </w:t>
      </w:r>
      <w:r>
        <w:t>It inventories historical and contemporary mathematical structures associated with optical and quantum coherence, resilience, viability, free-energy minimization, closure of constraints, synchronization, persistence, admissibility, structural continuity, coherence dynamics, and phenomenal coherence. The working hypothesis is deliberately modest: some of these formalisms may be projections, complements, or specializations of a broader family, but equivalence must be demonstrated case by case. Priority is assigned only to the earliest verifiable formulation of a specific structure, not to the word “coherence” or to a broad philosophical theme.</w:t>
      </w:r>
    </w:p>
    <w:p>
      <w:r>
        <w:t>Pass 9/10 contribution. The atlas now contains a SHA-512-sealed domain proxy map frozen before outcome inspection for NASA C-MAPSS FD001, an explicit access-block certificate rather than fabricated confirmatory metrics, a 6/6 executable audit-harness ablation of the fixed Zoran assembly, a final public-executable closure for π/μ, and a narrowed fixed-conjunction prior-art certificate. The edition remains pre-publication because DOI 18526755 identity and DOI 18499943 licence consistency are not fully resolved.</w:t>
      </w:r>
    </w:p>
    <w:p>
      <w:pPr>
        <w:pStyle w:val="Heading1"/>
        <w:keepNext/>
        <w:keepLines/>
      </w:pPr>
      <w:r>
        <w:t>Executive findings — Pass 9/10</w:t>
      </w:r>
    </w:p>
    <w:p>
      <w:r>
        <w:rPr>
          <w:b/>
        </w:rPr>
        <w:t xml:space="preserve">VERIFIED — </w:t>
      </w:r>
      <w:r>
        <w:t>The history of mathematically explicit coherence predates current cross-domain programmes by decades. Glauber formalized quantum optical coherence with correlation functions in 1963; viability, resilience, free-energy, synchronization, quantum resource coherence, and closure-of-constraints each established important domain-specific structures before 2025.</w:t>
      </w:r>
    </w:p>
    <w:p>
      <w:r>
        <w:rPr>
          <w:b/>
        </w:rPr>
        <w:t xml:space="preserve">VERIFIED — </w:t>
      </w:r>
      <w:r>
        <w:t>Zoran has multiple public mathematical generations: an early ratio S = β·ΔCₑ/λ, a thermodynamic form S = (η·Ḟ·ΔΦ)/(T·σ̇ᵢᵣᵣ), and the later phenomenal gauge S = β·ΔΦ/(T·σ). The base document already separates the universal law, the S-gauge, and contextual proxies.</w:t>
      </w:r>
    </w:p>
    <w:p>
      <w:r>
        <w:rPr>
          <w:b/>
        </w:rPr>
        <w:t xml:space="preserve">CORRECTION — </w:t>
      </w:r>
      <w:r>
        <w:t>PITON+ is a fractal falsification / micro-law detection engine, not the universal symbolic form generator. ΔVARIANT_ENGINE and UNIVERSAL_LAW_ENGINE are the relevant Zoran components for equation reformulation and mapping.</w:t>
      </w:r>
    </w:p>
    <w:p>
      <w:r>
        <w:rPr>
          <w:b/>
        </w:rPr>
        <w:t xml:space="preserve">AUDIT RULE — </w:t>
      </w:r>
      <w:r>
        <w:t>No external equation is classified as “already in Zoran” merely because it resembles a ratio or shares the word coherence. A dated transformation certificate is required.</w:t>
      </w:r>
    </w:p>
    <w:p>
      <w:r>
        <w:rPr>
          <w:b/>
        </w:rPr>
        <w:t xml:space="preserve">OPEN / UNRELATED GAP — </w:t>
      </w:r>
      <w:r>
        <w:t>The legacy “160 forms” artefact explicitly exposes 132 expressions in the available file; 28 identifiers (Z-092 to Z-119) remain undocumented in that artefact and are retained as a documentary gap, not reconstructed by invention.</w:t>
      </w:r>
    </w:p>
    <w:p>
      <w:r>
        <w:rPr>
          <w:b/>
        </w:rPr>
        <w:t xml:space="preserve">VERIFIED — </w:t>
      </w:r>
      <w:r>
        <w:t>By December 2025, the Zoran CφΩ corpus explicitly defined Q as a reachable dissolution state and tied persistence to measurable distance from that state. Reachability language therefore predates Paton inside Zoran at the state-reference level.</w:t>
      </w:r>
    </w:p>
    <w:p>
      <w:r>
        <w:rPr>
          <w:b/>
        </w:rPr>
        <w:t xml:space="preserve">VERIFIED — </w:t>
      </w:r>
      <w:r>
        <w:t>Pre-Paton Zoran artefacts also define coherent continuation, admissible futures, trajectory persistence, S(t) trend qualification, and an executable ADMISSIBLE / NON_ADMISSIBLE trajectory engine.</w:t>
      </w:r>
    </w:p>
    <w:p>
      <w:r>
        <w:rPr>
          <w:b/>
        </w:rPr>
        <w:t xml:space="preserve">CERTIFICATE — </w:t>
      </w:r>
      <w:r>
        <w:t>PATON-R-001 is narrowed. Paton reachability is not reducible to endpoint S, but it is no longer correct to treat all reachability/trajectory content as absent from earlier Zoran. The remaining Paton delta is the explicit existential path relation.</w:t>
      </w:r>
    </w:p>
    <w:p>
      <w:r>
        <w:rPr>
          <w:b/>
        </w:rPr>
        <w:t xml:space="preserve">NOT RECOVERED — </w:t>
      </w:r>
      <w:r>
        <w:t>Within the connected public zoran-corpus search surface, no pre-20-February-2026 formula equivalent to Reachable(x₀,x)=∃(x₁,…,xₙ) with an explicit transition relation was recovered. This is a bounded negative result, not proof of absence from unpublished material.</w:t>
      </w:r>
    </w:p>
    <w:p>
      <w:pPr>
        <w:spacing w:after="60"/>
      </w:pPr>
      <w:r>
        <w:rPr>
          <w:rFonts w:ascii="Aptos" w:hAnsi="Aptos"/>
          <w:sz w:val="19"/>
        </w:rPr>
        <w:t>CORRECTION — AI-assisted scientific discovery is not a Zoran-first surface. Robot Scientist Adam, AI Feynman, FunSearch, Coscientist and The AI Scientist establish multiple earlier lines for autonomous experimentation, symbolic equation discovery, evaluator-guided LLM discovery and end-to-end AI research.</w:t>
      </w:r>
    </w:p>
    <w:p>
      <w:pPr>
        <w:spacing w:after="60"/>
      </w:pPr>
      <w:r>
        <w:rPr>
          <w:rFonts w:ascii="Aptos" w:hAnsi="Aptos"/>
          <w:sz w:val="19"/>
        </w:rPr>
        <w:t>CORRECTION — Agentic LLM falsification also predates the late Zoran falsification papers: POPPER was submitted on 14 February 2025 and explicitly uses LLM agents to design and execute sequential falsification experiments under Type-I error control.</w:t>
      </w:r>
    </w:p>
    <w:p>
      <w:pPr>
        <w:spacing w:after="60"/>
      </w:pPr>
      <w:r>
        <w:rPr>
          <w:rFonts w:ascii="Aptos" w:hAnsi="Aptos"/>
          <w:sz w:val="19"/>
        </w:rPr>
        <w:t>VERIFIED — The Zoran corpus nevertheless contains a dated executable-method stack by November 2025: discovery/falsification-labelled manifests, ProofChain provenance, multi-model ZBench evaluation, temporal S-series qualification and later output-admissibility/falsification papers.</w:t>
      </w:r>
    </w:p>
    <w:p>
      <w:pPr>
        <w:spacing w:after="60"/>
      </w:pPr>
      <w:r>
        <w:rPr>
          <w:rFonts w:ascii="Aptos" w:hAnsi="Aptos"/>
          <w:sz w:val="19"/>
        </w:rPr>
        <w:t>OPEN — The potentially distinctive Zoran territory is therefore the assembled architecture, not any single ingredient: declared frames and proxies + coherence gauge + non-compensation/veto + temporal trajectory + proof traceability + adversarial/multi-AI testing + refusal/silence. World priority for that exact assembly is not established in Pass 5.</w:t>
      </w:r>
    </w:p>
    <w:p>
      <w:pPr>
        <w:spacing w:after="60"/>
      </w:pPr>
      <w:r>
        <w:rPr>
          <w:rFonts w:ascii="Aptos" w:hAnsi="Aptos"/>
          <w:sz w:val="19"/>
        </w:rPr>
        <w:t>INDEXING CORRECTION — Existing Zoran mirror pages were found with generic publication-date metadata such as 2025-01-01 on records whose internal artefacts indicate later dates. Exact source dates must replace placeholders before priority-sensitive Google Scholar indexing.</w:t>
      </w:r>
    </w:p>
    <w:p>
      <w:pPr>
        <w:spacing w:after="100"/>
      </w:pPr>
      <w:r>
        <w:rPr>
          <w:b/>
        </w:rPr>
        <w:t xml:space="preserve">PRIOR-ART NARROWING — </w:t>
      </w:r>
      <w:r>
        <w:t>Proof-carrying code (1997), reject-option classification (1970), ELECTRE non-compensation/veto, W3C PROV provenance, formal shielding, autonomous science and agentic falsification each predate corresponding Zoran ingredients. No exact full conjunction has yet been certified, but absence of an exact hit is not priority proof.</w:t>
      </w:r>
    </w:p>
    <w:p>
      <w:pPr>
        <w:spacing w:after="100"/>
      </w:pPr>
      <w:r>
        <w:rPr>
          <w:b/>
        </w:rPr>
        <w:t xml:space="preserve">METADATA BLOCKER — </w:t>
      </w:r>
      <w:r>
        <w:t>DOI 10.5281/zenodo.18526755 is currently associated in the public Zoran mirror with “Tenseur d’Amari-Chentsov et saturation MCP” and a generic 2026-01-01 date, while the current canonical corpus map uses the same DOI as “Loi de cohérence phénoménale — Démonstration complète par applications.” Direct Zenodo metadata were unavailable during this audit. The identity conflict remains NON_MESURÉ and is blocking for final Scholar indexing.</w:t>
      </w:r>
    </w:p>
    <w:p>
      <w:pPr>
        <w:spacing w:after="100"/>
      </w:pPr>
      <w:r>
        <w:rPr>
          <w:b/>
        </w:rPr>
        <w:t xml:space="preserve">LICENSE CONFLICT — </w:t>
      </w:r>
      <w:r>
        <w:t>DOI 10.5281/zenodo.18499943 is marked CC BY 4.0 in Zenodo metadata while the deposited document text states a restrictive Creative-Ethic BY / BY-PRO regime with 60-day conditions. This conflict is publication debt and must be resolved before downstream reuse claims.</w:t>
      </w:r>
    </w:p>
    <w:p>
      <w:pPr>
        <w:spacing w:after="100"/>
      </w:pPr>
      <w:r>
        <w:rPr>
          <w:b/>
        </w:rPr>
        <w:t xml:space="preserve">SPECIFICATION, NOT BENCHMARK PROOF — </w:t>
      </w:r>
      <w:r>
        <w:t>DOI 10.5281/zenodo.18500363 contains explicit axioms and a falsification-test plan for output-only structural admissibility. The projection π and ambiguity measure μ are formal placeholders/specifications in the inspected files; the small canonical prompt suite does not by itself demonstrate universal non-circumventability.</w:t>
      </w:r>
    </w:p>
    <w:p>
      <w:pPr>
        <w:spacing w:after="100"/>
      </w:pPr>
      <w:r>
        <w:rPr>
          <w:b/>
        </w:rPr>
        <w:t xml:space="preserve">STATIC CODE AUDIT — </w:t>
      </w:r>
      <w:r>
        <w:t>DOI 10.5281/zenodo.17804030 is a real dated executable-paper artefact (3 Dec 2025), but the visible main path runs a Mertens block check and a 50-target Goldbach probe only. Its implementation does not establish the broader claims of PNT/Riemann coverage, network consensus, &gt;10^15 operations per session, or a proof hash binding all processor states.</w:t>
      </w:r>
    </w:p>
    <w:p>
      <w:pPr>
        <w:spacing w:after="100"/>
      </w:pPr>
      <w:r>
        <w:rPr>
          <w:b/>
        </w:rPr>
        <w:t xml:space="preserve">REPRODUCED — </w:t>
      </w:r>
      <w:r>
        <w:t>PITON+ synthetic behavior is reproducible under the public sampling assumptions. Ten independent seeded runs of 100,000 vectors each produced mean P(S&gt;1)=89.5891% (SD 0.0800 percentage points), mean survival under σ&gt;0.8 of 47.3715% (SD 0.7527 pp), and mean rescue rate for T&gt;0.8 and ΔΦ&gt;2 of 93.9636% (SD 2.3568 pp). These are simulation properties, not independent empirical validation of a universal law.</w:t>
      </w:r>
    </w:p>
    <w:p>
      <w:pPr>
        <w:pStyle w:val="Heading1"/>
        <w:keepNext/>
        <w:keepLines/>
      </w:pPr>
      <w:r>
        <w:t>1. Scope, method, and evidence rules</w:t>
      </w:r>
    </w:p>
    <w:p>
      <w:r>
        <w:t>This document asks, for every candidate formulation:</w:t>
      </w:r>
    </w:p>
    <w:p>
      <w:pPr>
        <w:pStyle w:val="ListNumber"/>
      </w:pPr>
      <w:r>
        <w:t>What is the exact mathematical object or formal rule?</w:t>
      </w:r>
    </w:p>
    <w:p>
      <w:pPr>
        <w:pStyle w:val="ListNumber"/>
      </w:pPr>
      <w:r>
        <w:t>What is the earliest verifiable public date (journal publication, DOI, archive, or version history)?</w:t>
      </w:r>
    </w:p>
    <w:p>
      <w:pPr>
        <w:pStyle w:val="ListNumber"/>
      </w:pPr>
      <w:r>
        <w:t>What is the domain and what assumptions are required?</w:t>
      </w:r>
    </w:p>
    <w:p>
      <w:pPr>
        <w:pStyle w:val="ListNumber"/>
      </w:pPr>
      <w:r>
        <w:t>What does the form actually allow one to calculate, classify, or falsify?</w:t>
      </w:r>
    </w:p>
    <w:p>
      <w:pPr>
        <w:pStyle w:val="ListNumber"/>
      </w:pPr>
      <w:r>
        <w:t>How does it relate to other forms: identity, algebraic equivalence, monotone transformation, proxy, extension, analogy, or distinct object?</w:t>
      </w:r>
    </w:p>
    <w:p>
      <w:pPr>
        <w:pStyle w:val="ListNumber"/>
      </w:pPr>
      <w:r>
        <w:t>What remains hypothesis, and what is independently established or reproduced?</w:t>
      </w:r>
    </w:p>
    <w:p>
      <w:pPr>
        <w:pStyle w:val="ListNumber"/>
      </w:pPr>
      <w:r>
        <w:t>What licence applies to text, code, and data?</w:t>
      </w:r>
    </w:p>
    <w:p>
      <w:pPr>
        <w:pStyle w:val="Heading2"/>
        <w:keepNext/>
        <w:keepLines/>
      </w:pPr>
      <w:r>
        <w:t>1.1 Equivalence taxonomy</w:t>
      </w:r>
    </w:p>
    <w:tbl>
      <w:tblPr>
        <w:tblStyle w:val="TableGrid"/>
        <w:tblW w:type="auto" w:w="0"/>
        <w:jc w:val="center"/>
        <w:tblLook w:firstColumn="1" w:firstRow="1" w:lastColumn="0" w:lastRow="0" w:noHBand="0" w:noVBand="1" w:val="04A0"/>
      </w:tblPr>
      <w:tblGrid>
        <w:gridCol w:w="4997"/>
        <w:gridCol w:w="4997"/>
      </w:tblGrid>
      <w:tr>
        <w:trPr>
          <w:tblHeader w:val="true"/>
        </w:trPr>
        <w:tc>
          <w:tcPr>
            <w:tcW w:type="dxa" w:w="4997"/>
            <w:shd w:fill="D9E7EE"/>
          </w:tcPr>
          <w:p>
            <w:r>
              <w:t>Class</w:t>
            </w:r>
          </w:p>
        </w:tc>
        <w:tc>
          <w:tcPr>
            <w:tcW w:type="dxa" w:w="4997"/>
            <w:shd w:fill="D9E7EE"/>
          </w:tcPr>
          <w:p>
            <w:r>
              <w:t>Definition</w:t>
            </w:r>
          </w:p>
        </w:tc>
      </w:tr>
      <w:tr>
        <w:tc>
          <w:tcPr>
            <w:tcW w:type="dxa" w:w="4997"/>
            <w:tcMar>
              <w:top w:w="70" w:type="dxa"/>
              <w:start w:w="70" w:type="dxa"/>
              <w:bottom w:w="70" w:type="dxa"/>
              <w:end w:w="70" w:type="dxa"/>
            </w:tcMar>
          </w:tcPr>
          <w:p>
            <w:r>
              <w:t>E0 — Identity</w:t>
            </w:r>
          </w:p>
        </w:tc>
        <w:tc>
          <w:tcPr>
            <w:tcW w:type="dxa" w:w="4997"/>
            <w:tcMar>
              <w:top w:w="70" w:type="dxa"/>
              <w:start w:w="70" w:type="dxa"/>
              <w:bottom w:w="70" w:type="dxa"/>
              <w:end w:w="70" w:type="dxa"/>
            </w:tcMar>
          </w:tcPr>
          <w:p>
            <w:r>
              <w:t>Same mathematical object up to symbol renaming and declared unit conventions.</w:t>
            </w:r>
          </w:p>
        </w:tc>
      </w:tr>
      <w:tr>
        <w:tc>
          <w:tcPr>
            <w:tcW w:type="dxa" w:w="4997"/>
            <w:tcMar>
              <w:top w:w="70" w:type="dxa"/>
              <w:start w:w="70" w:type="dxa"/>
              <w:bottom w:w="70" w:type="dxa"/>
              <w:end w:w="70" w:type="dxa"/>
            </w:tcMar>
          </w:tcPr>
          <w:p>
            <w:r>
              <w:t>E1 — Algebraic equivalence</w:t>
            </w:r>
          </w:p>
        </w:tc>
        <w:tc>
          <w:tcPr>
            <w:tcW w:type="dxa" w:w="4997"/>
            <w:tcMar>
              <w:top w:w="70" w:type="dxa"/>
              <w:start w:w="70" w:type="dxa"/>
              <w:bottom w:w="70" w:type="dxa"/>
              <w:end w:w="70" w:type="dxa"/>
            </w:tcMar>
          </w:tcPr>
          <w:p>
            <w:r>
              <w:t>Same relation under a bijective algebraic rearrangement on an explicit domain.</w:t>
            </w:r>
          </w:p>
        </w:tc>
      </w:tr>
      <w:tr>
        <w:tc>
          <w:tcPr>
            <w:tcW w:type="dxa" w:w="4997"/>
            <w:tcMar>
              <w:top w:w="70" w:type="dxa"/>
              <w:start w:w="70" w:type="dxa"/>
              <w:bottom w:w="70" w:type="dxa"/>
              <w:end w:w="70" w:type="dxa"/>
            </w:tcMar>
          </w:tcPr>
          <w:p>
            <w:r>
              <w:t>E2 — Order/decision-preserving transformation</w:t>
            </w:r>
          </w:p>
        </w:tc>
        <w:tc>
          <w:tcPr>
            <w:tcW w:type="dxa" w:w="4997"/>
            <w:tcMar>
              <w:top w:w="70" w:type="dxa"/>
              <w:start w:w="70" w:type="dxa"/>
              <w:bottom w:w="70" w:type="dxa"/>
              <w:end w:w="70" w:type="dxa"/>
            </w:tcMar>
          </w:tcPr>
          <w:p>
            <w:r>
              <w:t>Different numerical scale but the same ranking or threshold decision under a monotone transformation.</w:t>
            </w:r>
          </w:p>
        </w:tc>
      </w:tr>
      <w:tr>
        <w:tc>
          <w:tcPr>
            <w:tcW w:type="dxa" w:w="4997"/>
            <w:tcMar>
              <w:top w:w="70" w:type="dxa"/>
              <w:start w:w="70" w:type="dxa"/>
              <w:bottom w:w="70" w:type="dxa"/>
              <w:end w:w="70" w:type="dxa"/>
            </w:tcMar>
          </w:tcPr>
          <w:p>
            <w:r>
              <w:t>E3 — Projection / proxy</w:t>
            </w:r>
          </w:p>
        </w:tc>
        <w:tc>
          <w:tcPr>
            <w:tcW w:type="dxa" w:w="4997"/>
            <w:tcMar>
              <w:top w:w="70" w:type="dxa"/>
              <w:start w:w="70" w:type="dxa"/>
              <w:bottom w:w="70" w:type="dxa"/>
              <w:end w:w="70" w:type="dxa"/>
            </w:tcMar>
          </w:tcPr>
          <w:p>
            <w:r>
              <w:t>A domain measure can instantiate an operand or observable without becoming the universal law itself.</w:t>
            </w:r>
          </w:p>
        </w:tc>
      </w:tr>
      <w:tr>
        <w:tc>
          <w:tcPr>
            <w:tcW w:type="dxa" w:w="4997"/>
            <w:tcMar>
              <w:top w:w="70" w:type="dxa"/>
              <w:start w:w="70" w:type="dxa"/>
              <w:bottom w:w="70" w:type="dxa"/>
              <w:end w:w="70" w:type="dxa"/>
            </w:tcMar>
          </w:tcPr>
          <w:p>
            <w:r>
              <w:t>E4 — Extension</w:t>
            </w:r>
          </w:p>
        </w:tc>
        <w:tc>
          <w:tcPr>
            <w:tcW w:type="dxa" w:w="4997"/>
            <w:tcMar>
              <w:top w:w="70" w:type="dxa"/>
              <w:start w:w="70" w:type="dxa"/>
              <w:bottom w:w="70" w:type="dxa"/>
              <w:end w:w="70" w:type="dxa"/>
            </w:tcMar>
          </w:tcPr>
          <w:p>
            <w:r>
              <w:t>Adds a state variable, derivative, threshold, reachability relation, geometry, field, or operator not obtained by simple algebra.</w:t>
            </w:r>
          </w:p>
        </w:tc>
      </w:tr>
      <w:tr>
        <w:tc>
          <w:tcPr>
            <w:tcW w:type="dxa" w:w="4997"/>
            <w:tcMar>
              <w:top w:w="70" w:type="dxa"/>
              <w:start w:w="70" w:type="dxa"/>
              <w:bottom w:w="70" w:type="dxa"/>
              <w:end w:w="70" w:type="dxa"/>
            </w:tcMar>
          </w:tcPr>
          <w:p>
            <w:r>
              <w:t>E5 — Structural analogy</w:t>
            </w:r>
          </w:p>
        </w:tc>
        <w:tc>
          <w:tcPr>
            <w:tcW w:type="dxa" w:w="4997"/>
            <w:tcMar>
              <w:top w:w="70" w:type="dxa"/>
              <w:start w:w="70" w:type="dxa"/>
              <w:bottom w:w="70" w:type="dxa"/>
              <w:end w:w="70" w:type="dxa"/>
            </w:tcMar>
          </w:tcPr>
          <w:p>
            <w:r>
              <w:t>Shares a constraint/persistence/coherence motif but uses different mathematics.</w:t>
            </w:r>
          </w:p>
        </w:tc>
      </w:tr>
      <w:tr>
        <w:tc>
          <w:tcPr>
            <w:tcW w:type="dxa" w:w="4997"/>
            <w:tcMar>
              <w:top w:w="70" w:type="dxa"/>
              <w:start w:w="70" w:type="dxa"/>
              <w:bottom w:w="70" w:type="dxa"/>
              <w:end w:w="70" w:type="dxa"/>
            </w:tcMar>
          </w:tcPr>
          <w:p>
            <w:r>
              <w:t>E6 — Distinct use of “coherence”</w:t>
            </w:r>
          </w:p>
        </w:tc>
        <w:tc>
          <w:tcPr>
            <w:tcW w:type="dxa" w:w="4997"/>
            <w:tcMar>
              <w:top w:w="70" w:type="dxa"/>
              <w:start w:w="70" w:type="dxa"/>
              <w:bottom w:w="70" w:type="dxa"/>
              <w:end w:w="70" w:type="dxa"/>
            </w:tcMar>
          </w:tcPr>
          <w:p>
            <w:r>
              <w:t>Same word, different scientific object; useful for vocabulary history, not equation priority.</w:t>
            </w:r>
          </w:p>
        </w:tc>
      </w:tr>
    </w:tbl>
    <w:p>
      <w:pPr>
        <w:sectPr>
          <w:headerReference w:type="default" r:id="rId9"/>
          <w:footerReference w:type="default" r:id="rId10"/>
          <w:pgSz w:w="12240" w:h="15840"/>
          <w:pgMar w:top="1037" w:right="1123" w:bottom="979" w:left="1123" w:header="720" w:footer="720" w:gutter="0"/>
          <w:cols w:space="720"/>
          <w:docGrid w:linePitch="360"/>
        </w:sectPr>
      </w:pPr>
    </w:p>
    <w:p>
      <w:pPr>
        <w:pStyle w:val="Heading1"/>
        <w:keepNext/>
        <w:keepLines/>
      </w:pPr>
      <w:r>
        <w:t>2. Master global registry v1 — 25 candidate lineages/programmes</w:t>
      </w:r>
    </w:p>
    <w:p>
      <w:r>
        <w:t>The registry is intentionally broader than the final set of “canonical laws”. It is a screening surface. Rows marked FORMULA PENDING remain in scope but their exact equation must be recovered from the primary paper before a strong equivalence claim is allowed.</w:t>
      </w:r>
    </w:p>
    <w:tbl>
      <w:tblPr>
        <w:tblStyle w:val="TableGrid"/>
        <w:tblW w:type="auto" w:w="0"/>
        <w:jc w:val="center"/>
        <w:tblLook w:firstColumn="1" w:firstRow="1" w:lastColumn="0" w:lastRow="0" w:noHBand="0" w:noVBand="1" w:val="04A0"/>
      </w:tblPr>
      <w:tblGrid>
        <w:gridCol w:w="1942"/>
        <w:gridCol w:w="1942"/>
        <w:gridCol w:w="1942"/>
        <w:gridCol w:w="1942"/>
        <w:gridCol w:w="1942"/>
        <w:gridCol w:w="1942"/>
        <w:gridCol w:w="1942"/>
        <w:gridCol w:w="1942"/>
      </w:tblGrid>
      <w:tr>
        <w:trPr>
          <w:tblHeader w:val="true"/>
        </w:trPr>
        <w:tc>
          <w:tcPr>
            <w:tcW w:type="dxa" w:w="1942"/>
            <w:shd w:fill="CFE0E8"/>
            <w:tcMar>
              <w:top w:w="45" w:type="dxa"/>
              <w:start w:w="45" w:type="dxa"/>
              <w:bottom w:w="45" w:type="dxa"/>
              <w:end w:w="45" w:type="dxa"/>
            </w:tcMar>
          </w:tcPr>
          <w:p>
            <w:pPr>
              <w:spacing w:after="0" w:line="216" w:lineRule="auto"/>
            </w:pPr>
            <w:r>
              <w:rPr>
                <w:rFonts w:ascii="Cambria" w:hAnsi="Cambria"/>
                <w:sz w:val="14"/>
              </w:rPr>
              <w:t>Date</w:t>
            </w:r>
          </w:p>
        </w:tc>
        <w:tc>
          <w:tcPr>
            <w:tcW w:type="dxa" w:w="1942"/>
            <w:shd w:fill="CFE0E8"/>
            <w:tcMar>
              <w:top w:w="45" w:type="dxa"/>
              <w:start w:w="45" w:type="dxa"/>
              <w:bottom w:w="45" w:type="dxa"/>
              <w:end w:w="45" w:type="dxa"/>
            </w:tcMar>
          </w:tcPr>
          <w:p>
            <w:pPr>
              <w:spacing w:after="0" w:line="216" w:lineRule="auto"/>
            </w:pPr>
            <w:r>
              <w:rPr>
                <w:rFonts w:ascii="Cambria" w:hAnsi="Cambria"/>
                <w:sz w:val="14"/>
              </w:rPr>
              <w:t>Author / programme</w:t>
            </w:r>
          </w:p>
        </w:tc>
        <w:tc>
          <w:tcPr>
            <w:tcW w:type="dxa" w:w="1942"/>
            <w:shd w:fill="CFE0E8"/>
            <w:tcMar>
              <w:top w:w="45" w:type="dxa"/>
              <w:start w:w="45" w:type="dxa"/>
              <w:bottom w:w="45" w:type="dxa"/>
              <w:end w:w="45" w:type="dxa"/>
            </w:tcMar>
          </w:tcPr>
          <w:p>
            <w:pPr>
              <w:spacing w:after="0" w:line="216" w:lineRule="auto"/>
            </w:pPr>
            <w:r>
              <w:rPr>
                <w:rFonts w:ascii="Cambria" w:hAnsi="Cambria"/>
                <w:sz w:val="14"/>
              </w:rPr>
              <w:t>Form</w:t>
            </w:r>
          </w:p>
        </w:tc>
        <w:tc>
          <w:tcPr>
            <w:tcW w:type="dxa" w:w="1942"/>
            <w:shd w:fill="CFE0E8"/>
            <w:tcMar>
              <w:top w:w="45" w:type="dxa"/>
              <w:start w:w="45" w:type="dxa"/>
              <w:bottom w:w="45" w:type="dxa"/>
              <w:end w:w="45" w:type="dxa"/>
            </w:tcMar>
          </w:tcPr>
          <w:p>
            <w:pPr>
              <w:spacing w:after="0" w:line="216" w:lineRule="auto"/>
            </w:pPr>
            <w:r>
              <w:rPr>
                <w:rFonts w:ascii="Cambria" w:hAnsi="Cambria"/>
                <w:sz w:val="14"/>
              </w:rPr>
              <w:t>Equation / formal object</w:t>
            </w:r>
          </w:p>
        </w:tc>
        <w:tc>
          <w:tcPr>
            <w:tcW w:type="dxa" w:w="1942"/>
            <w:shd w:fill="CFE0E8"/>
            <w:tcMar>
              <w:top w:w="45" w:type="dxa"/>
              <w:start w:w="45" w:type="dxa"/>
              <w:bottom w:w="45" w:type="dxa"/>
              <w:end w:w="45" w:type="dxa"/>
            </w:tcMar>
          </w:tcPr>
          <w:p>
            <w:pPr>
              <w:spacing w:after="0" w:line="216" w:lineRule="auto"/>
            </w:pPr>
            <w:r>
              <w:rPr>
                <w:rFonts w:ascii="Cambria" w:hAnsi="Cambria"/>
                <w:sz w:val="14"/>
              </w:rPr>
              <w:t>DOI / archive</w:t>
            </w:r>
          </w:p>
        </w:tc>
        <w:tc>
          <w:tcPr>
            <w:tcW w:type="dxa" w:w="1942"/>
            <w:shd w:fill="CFE0E8"/>
            <w:tcMar>
              <w:top w:w="45" w:type="dxa"/>
              <w:start w:w="45" w:type="dxa"/>
              <w:bottom w:w="45" w:type="dxa"/>
              <w:end w:w="45" w:type="dxa"/>
            </w:tcMar>
          </w:tcPr>
          <w:p>
            <w:pPr>
              <w:spacing w:after="0" w:line="216" w:lineRule="auto"/>
            </w:pPr>
            <w:r>
              <w:rPr>
                <w:rFonts w:ascii="Cambria" w:hAnsi="Cambria"/>
                <w:sz w:val="14"/>
              </w:rPr>
              <w:t>Domain</w:t>
            </w:r>
          </w:p>
        </w:tc>
        <w:tc>
          <w:tcPr>
            <w:tcW w:type="dxa" w:w="1942"/>
            <w:shd w:fill="CFE0E8"/>
            <w:tcMar>
              <w:top w:w="45" w:type="dxa"/>
              <w:start w:w="45" w:type="dxa"/>
              <w:bottom w:w="45" w:type="dxa"/>
              <w:end w:w="45" w:type="dxa"/>
            </w:tcMar>
          </w:tcPr>
          <w:p>
            <w:pPr>
              <w:spacing w:after="0" w:line="216" w:lineRule="auto"/>
            </w:pPr>
            <w:r>
              <w:rPr>
                <w:rFonts w:ascii="Cambria" w:hAnsi="Cambria"/>
                <w:sz w:val="14"/>
              </w:rPr>
              <w:t>Relation</w:t>
            </w:r>
          </w:p>
        </w:tc>
        <w:tc>
          <w:tcPr>
            <w:tcW w:type="dxa" w:w="1942"/>
            <w:shd w:fill="CFE0E8"/>
            <w:tcMar>
              <w:top w:w="45" w:type="dxa"/>
              <w:start w:w="45" w:type="dxa"/>
              <w:bottom w:w="45" w:type="dxa"/>
              <w:end w:w="45" w:type="dxa"/>
            </w:tcMar>
          </w:tcPr>
          <w:p>
            <w:pPr>
              <w:spacing w:after="0" w:line="216" w:lineRule="auto"/>
            </w:pPr>
            <w:r>
              <w:rPr>
                <w:rFonts w:ascii="Cambria" w:hAnsi="Cambria"/>
                <w:sz w:val="14"/>
              </w:rPr>
              <w:t>Pass-2 finding</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1963</w:t>
            </w:r>
          </w:p>
        </w:tc>
        <w:tc>
          <w:tcPr>
            <w:tcW w:type="dxa" w:w="2088"/>
            <w:tcMar>
              <w:top w:w="22" w:type="dxa"/>
              <w:start w:w="28" w:type="dxa"/>
              <w:bottom w:w="22" w:type="dxa"/>
              <w:end w:w="28" w:type="dxa"/>
            </w:tcMar>
            <w:vAlign w:val="top"/>
          </w:tcPr>
          <w:p>
            <w:pPr>
              <w:spacing w:after="0" w:line="216" w:lineRule="auto"/>
            </w:pPr>
            <w:r>
              <w:rPr>
                <w:rFonts w:ascii="Cambria" w:hAnsi="Cambria"/>
                <w:sz w:val="12"/>
              </w:rPr>
              <w:t>Roy J. Glauber</w:t>
            </w:r>
          </w:p>
        </w:tc>
        <w:tc>
          <w:tcPr>
            <w:tcW w:type="dxa" w:w="2160"/>
            <w:tcMar>
              <w:top w:w="22" w:type="dxa"/>
              <w:start w:w="28" w:type="dxa"/>
              <w:bottom w:w="22" w:type="dxa"/>
              <w:end w:w="28" w:type="dxa"/>
            </w:tcMar>
            <w:vAlign w:val="top"/>
          </w:tcPr>
          <w:p>
            <w:pPr>
              <w:spacing w:after="0" w:line="216" w:lineRule="auto"/>
            </w:pPr>
            <w:r>
              <w:rPr>
                <w:rFonts w:ascii="Cambria" w:hAnsi="Cambria"/>
                <w:sz w:val="12"/>
              </w:rPr>
              <w:t>Quantum optical coherence</w:t>
            </w:r>
          </w:p>
        </w:tc>
        <w:tc>
          <w:tcPr>
            <w:tcW w:type="dxa" w:w="3960"/>
            <w:tcMar>
              <w:top w:w="22" w:type="dxa"/>
              <w:start w:w="28" w:type="dxa"/>
              <w:bottom w:w="22" w:type="dxa"/>
              <w:end w:w="28" w:type="dxa"/>
            </w:tcMar>
            <w:vAlign w:val="top"/>
          </w:tcPr>
          <w:p>
            <w:pPr>
              <w:spacing w:after="0" w:line="216" w:lineRule="auto"/>
            </w:pPr>
            <w:r>
              <w:rPr>
                <w:rFonts w:ascii="Cambria" w:hAnsi="Cambria"/>
                <w:sz w:val="12"/>
              </w:rPr>
              <w:t>n-th order field correlation functions; full coherence defined by a hierarchy of correlation conditions</w:t>
            </w:r>
          </w:p>
        </w:tc>
        <w:tc>
          <w:tcPr>
            <w:tcW w:type="dxa" w:w="2664"/>
            <w:tcMar>
              <w:top w:w="22" w:type="dxa"/>
              <w:start w:w="28" w:type="dxa"/>
              <w:bottom w:w="22" w:type="dxa"/>
              <w:end w:w="28" w:type="dxa"/>
            </w:tcMar>
            <w:vAlign w:val="top"/>
          </w:tcPr>
          <w:p>
            <w:pPr>
              <w:spacing w:after="0" w:line="216" w:lineRule="auto"/>
            </w:pPr>
            <w:r>
              <w:rPr>
                <w:rFonts w:ascii="Cambria" w:hAnsi="Cambria"/>
                <w:sz w:val="12"/>
              </w:rPr>
              <w:t>10.1103/PhysRev.130.2529</w:t>
            </w:r>
          </w:p>
        </w:tc>
        <w:tc>
          <w:tcPr>
            <w:tcW w:type="dxa" w:w="1800"/>
            <w:tcMar>
              <w:top w:w="22" w:type="dxa"/>
              <w:start w:w="28" w:type="dxa"/>
              <w:bottom w:w="22" w:type="dxa"/>
              <w:end w:w="28" w:type="dxa"/>
            </w:tcMar>
            <w:vAlign w:val="top"/>
          </w:tcPr>
          <w:p>
            <w:pPr>
              <w:spacing w:after="0" w:line="216" w:lineRule="auto"/>
            </w:pPr>
            <w:r>
              <w:rPr>
                <w:rFonts w:ascii="Cambria" w:hAnsi="Cambria"/>
                <w:sz w:val="12"/>
              </w:rPr>
              <w:t>Physics / quantum optics</w:t>
            </w:r>
          </w:p>
        </w:tc>
        <w:tc>
          <w:tcPr>
            <w:tcW w:type="dxa" w:w="1152"/>
            <w:tcMar>
              <w:top w:w="22" w:type="dxa"/>
              <w:start w:w="28" w:type="dxa"/>
              <w:bottom w:w="22" w:type="dxa"/>
              <w:end w:w="28" w:type="dxa"/>
            </w:tcMar>
            <w:vAlign w:val="top"/>
          </w:tcPr>
          <w:p>
            <w:pPr>
              <w:spacing w:after="0" w:line="216" w:lineRule="auto"/>
            </w:pPr>
            <w:r>
              <w:rPr>
                <w:rFonts w:ascii="Cambria" w:hAnsi="Cambria"/>
                <w:sz w:val="12"/>
              </w:rPr>
              <w:t>Formal anchor</w:t>
            </w:r>
          </w:p>
        </w:tc>
        <w:tc>
          <w:tcPr>
            <w:tcW w:type="dxa" w:w="3384"/>
            <w:tcMar>
              <w:top w:w="22" w:type="dxa"/>
              <w:start w:w="28" w:type="dxa"/>
              <w:bottom w:w="22" w:type="dxa"/>
              <w:end w:w="28" w:type="dxa"/>
            </w:tcMar>
            <w:vAlign w:val="top"/>
          </w:tcPr>
          <w:p>
            <w:pPr>
              <w:spacing w:after="0" w:line="216" w:lineRule="auto"/>
            </w:pPr>
            <w:r>
              <w:rPr>
                <w:rFonts w:ascii="Cambria" w:hAnsi="Cambria"/>
                <w:sz w:val="12"/>
              </w:rPr>
              <w:t>Peer-reviewed; foundational mathematical coherence</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1973</w:t>
            </w:r>
          </w:p>
        </w:tc>
        <w:tc>
          <w:tcPr>
            <w:tcW w:type="dxa" w:w="2088"/>
            <w:tcMar>
              <w:top w:w="22" w:type="dxa"/>
              <w:start w:w="28" w:type="dxa"/>
              <w:bottom w:w="22" w:type="dxa"/>
              <w:end w:w="28" w:type="dxa"/>
            </w:tcMar>
            <w:vAlign w:val="top"/>
          </w:tcPr>
          <w:p>
            <w:pPr>
              <w:spacing w:after="0" w:line="216" w:lineRule="auto"/>
            </w:pPr>
            <w:r>
              <w:rPr>
                <w:rFonts w:ascii="Cambria" w:hAnsi="Cambria"/>
                <w:sz w:val="12"/>
              </w:rPr>
              <w:t>C. S. Holling</w:t>
            </w:r>
          </w:p>
        </w:tc>
        <w:tc>
          <w:tcPr>
            <w:tcW w:type="dxa" w:w="2160"/>
            <w:tcMar>
              <w:top w:w="22" w:type="dxa"/>
              <w:start w:w="28" w:type="dxa"/>
              <w:bottom w:w="22" w:type="dxa"/>
              <w:end w:w="28" w:type="dxa"/>
            </w:tcMar>
            <w:vAlign w:val="top"/>
          </w:tcPr>
          <w:p>
            <w:pPr>
              <w:spacing w:after="0" w:line="216" w:lineRule="auto"/>
            </w:pPr>
            <w:r>
              <w:rPr>
                <w:rFonts w:ascii="Cambria" w:hAnsi="Cambria"/>
                <w:sz w:val="12"/>
              </w:rPr>
              <w:t>Ecological resilience</w:t>
            </w:r>
          </w:p>
        </w:tc>
        <w:tc>
          <w:tcPr>
            <w:tcW w:type="dxa" w:w="3960"/>
            <w:tcMar>
              <w:top w:w="22" w:type="dxa"/>
              <w:start w:w="28" w:type="dxa"/>
              <w:bottom w:w="22" w:type="dxa"/>
              <w:end w:w="28" w:type="dxa"/>
            </w:tcMar>
            <w:vAlign w:val="top"/>
          </w:tcPr>
          <w:p>
            <w:pPr>
              <w:spacing w:after="0" w:line="216" w:lineRule="auto"/>
            </w:pPr>
            <w:r>
              <w:rPr>
                <w:rFonts w:ascii="Cambria" w:hAnsi="Cambria"/>
                <w:sz w:val="12"/>
              </w:rPr>
              <w:t>No single universal scalar; persistence of relationships within domains of attraction</w:t>
            </w:r>
          </w:p>
        </w:tc>
        <w:tc>
          <w:tcPr>
            <w:tcW w:type="dxa" w:w="2664"/>
            <w:tcMar>
              <w:top w:w="22" w:type="dxa"/>
              <w:start w:w="28" w:type="dxa"/>
              <w:bottom w:w="22" w:type="dxa"/>
              <w:end w:w="28" w:type="dxa"/>
            </w:tcMar>
            <w:vAlign w:val="top"/>
          </w:tcPr>
          <w:p>
            <w:pPr>
              <w:spacing w:after="0" w:line="216" w:lineRule="auto"/>
            </w:pPr>
            <w:r>
              <w:rPr>
                <w:rFonts w:ascii="Cambria" w:hAnsi="Cambria"/>
                <w:sz w:val="12"/>
              </w:rPr>
              <w:t>10.1146/annurev.es.04.110173.000245</w:t>
            </w:r>
          </w:p>
        </w:tc>
        <w:tc>
          <w:tcPr>
            <w:tcW w:type="dxa" w:w="1800"/>
            <w:tcMar>
              <w:top w:w="22" w:type="dxa"/>
              <w:start w:w="28" w:type="dxa"/>
              <w:bottom w:w="22" w:type="dxa"/>
              <w:end w:w="28" w:type="dxa"/>
            </w:tcMar>
            <w:vAlign w:val="top"/>
          </w:tcPr>
          <w:p>
            <w:pPr>
              <w:spacing w:after="0" w:line="216" w:lineRule="auto"/>
            </w:pPr>
            <w:r>
              <w:rPr>
                <w:rFonts w:ascii="Cambria" w:hAnsi="Cambria"/>
                <w:sz w:val="12"/>
              </w:rPr>
              <w:t>Ecology / systems</w:t>
            </w:r>
          </w:p>
        </w:tc>
        <w:tc>
          <w:tcPr>
            <w:tcW w:type="dxa" w:w="1152"/>
            <w:tcMar>
              <w:top w:w="22" w:type="dxa"/>
              <w:start w:w="28" w:type="dxa"/>
              <w:bottom w:w="22" w:type="dxa"/>
              <w:end w:w="28" w:type="dxa"/>
            </w:tcMar>
            <w:vAlign w:val="top"/>
          </w:tcPr>
          <w:p>
            <w:pPr>
              <w:spacing w:after="0" w:line="216" w:lineRule="auto"/>
            </w:pPr>
            <w:r>
              <w:rPr>
                <w:rFonts w:ascii="Cambria" w:hAnsi="Cambria"/>
                <w:sz w:val="12"/>
              </w:rPr>
              <w:t>Conceptual anchor</w:t>
            </w:r>
          </w:p>
        </w:tc>
        <w:tc>
          <w:tcPr>
            <w:tcW w:type="dxa" w:w="3384"/>
            <w:tcMar>
              <w:top w:w="22" w:type="dxa"/>
              <w:start w:w="28" w:type="dxa"/>
              <w:bottom w:w="22" w:type="dxa"/>
              <w:end w:w="28" w:type="dxa"/>
            </w:tcMar>
            <w:vAlign w:val="top"/>
          </w:tcPr>
          <w:p>
            <w:pPr>
              <w:spacing w:after="0" w:line="216" w:lineRule="auto"/>
            </w:pPr>
            <w:r>
              <w:rPr>
                <w:rFonts w:ascii="Cambria" w:hAnsi="Cambria"/>
                <w:sz w:val="12"/>
              </w:rPr>
              <w:t>Peer-reviewed; resilience ≠ universal coherence law</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1974</w:t>
            </w:r>
          </w:p>
        </w:tc>
        <w:tc>
          <w:tcPr>
            <w:tcW w:type="dxa" w:w="2088"/>
            <w:tcMar>
              <w:top w:w="22" w:type="dxa"/>
              <w:start w:w="28" w:type="dxa"/>
              <w:bottom w:w="22" w:type="dxa"/>
              <w:end w:w="28" w:type="dxa"/>
            </w:tcMar>
            <w:vAlign w:val="top"/>
          </w:tcPr>
          <w:p>
            <w:pPr>
              <w:spacing w:after="0" w:line="216" w:lineRule="auto"/>
            </w:pPr>
            <w:r>
              <w:rPr>
                <w:rFonts w:ascii="Cambria" w:hAnsi="Cambria"/>
                <w:sz w:val="12"/>
              </w:rPr>
              <w:t>H. Maturana &amp; F. Varela</w:t>
            </w:r>
          </w:p>
        </w:tc>
        <w:tc>
          <w:tcPr>
            <w:tcW w:type="dxa" w:w="2160"/>
            <w:tcMar>
              <w:top w:w="22" w:type="dxa"/>
              <w:start w:w="28" w:type="dxa"/>
              <w:bottom w:w="22" w:type="dxa"/>
              <w:end w:w="28" w:type="dxa"/>
            </w:tcMar>
            <w:vAlign w:val="top"/>
          </w:tcPr>
          <w:p>
            <w:pPr>
              <w:spacing w:after="0" w:line="216" w:lineRule="auto"/>
            </w:pPr>
            <w:r>
              <w:rPr>
                <w:rFonts w:ascii="Cambria" w:hAnsi="Cambria"/>
                <w:sz w:val="12"/>
              </w:rPr>
              <w:t>Autopoiesis</w:t>
            </w:r>
          </w:p>
        </w:tc>
        <w:tc>
          <w:tcPr>
            <w:tcW w:type="dxa" w:w="3960"/>
            <w:tcMar>
              <w:top w:w="22" w:type="dxa"/>
              <w:start w:w="28" w:type="dxa"/>
              <w:bottom w:w="22" w:type="dxa"/>
              <w:end w:w="28" w:type="dxa"/>
            </w:tcMar>
            <w:vAlign w:val="top"/>
          </w:tcPr>
          <w:p>
            <w:pPr>
              <w:spacing w:after="0" w:line="216" w:lineRule="auto"/>
            </w:pPr>
            <w:r>
              <w:rPr>
                <w:rFonts w:ascii="Cambria" w:hAnsi="Cambria"/>
                <w:sz w:val="12"/>
              </w:rPr>
              <w:t>Self-maintaining organization; no single scalar canonical equation</w:t>
            </w:r>
          </w:p>
        </w:tc>
        <w:tc>
          <w:tcPr>
            <w:tcW w:type="dxa" w:w="2664"/>
            <w:tcMar>
              <w:top w:w="22" w:type="dxa"/>
              <w:start w:w="28" w:type="dxa"/>
              <w:bottom w:w="22" w:type="dxa"/>
              <w:end w:w="28" w:type="dxa"/>
            </w:tcMar>
            <w:vAlign w:val="top"/>
          </w:tcPr>
          <w:p>
            <w:pPr>
              <w:spacing w:after="0" w:line="216" w:lineRule="auto"/>
            </w:pPr>
            <w:r>
              <w:rPr>
                <w:rFonts w:ascii="Cambria" w:hAnsi="Cambria"/>
                <w:sz w:val="12"/>
              </w:rPr>
              <w:t>10.1016/0303-2647(74)90031-8</w:t>
            </w:r>
          </w:p>
        </w:tc>
        <w:tc>
          <w:tcPr>
            <w:tcW w:type="dxa" w:w="1800"/>
            <w:tcMar>
              <w:top w:w="22" w:type="dxa"/>
              <w:start w:w="28" w:type="dxa"/>
              <w:bottom w:w="22" w:type="dxa"/>
              <w:end w:w="28" w:type="dxa"/>
            </w:tcMar>
            <w:vAlign w:val="top"/>
          </w:tcPr>
          <w:p>
            <w:pPr>
              <w:spacing w:after="0" w:line="216" w:lineRule="auto"/>
            </w:pPr>
            <w:r>
              <w:rPr>
                <w:rFonts w:ascii="Cambria" w:hAnsi="Cambria"/>
                <w:sz w:val="12"/>
              </w:rPr>
              <w:t>Biology / organization</w:t>
            </w:r>
          </w:p>
        </w:tc>
        <w:tc>
          <w:tcPr>
            <w:tcW w:type="dxa" w:w="1152"/>
            <w:tcMar>
              <w:top w:w="22" w:type="dxa"/>
              <w:start w:w="28" w:type="dxa"/>
              <w:bottom w:w="22" w:type="dxa"/>
              <w:end w:w="28" w:type="dxa"/>
            </w:tcMar>
            <w:vAlign w:val="top"/>
          </w:tcPr>
          <w:p>
            <w:pPr>
              <w:spacing w:after="0" w:line="216" w:lineRule="auto"/>
            </w:pPr>
            <w:r>
              <w:rPr>
                <w:rFonts w:ascii="Cambria" w:hAnsi="Cambria"/>
                <w:sz w:val="12"/>
              </w:rPr>
              <w:t>Conceptual anchor</w:t>
            </w:r>
          </w:p>
        </w:tc>
        <w:tc>
          <w:tcPr>
            <w:tcW w:type="dxa" w:w="3384"/>
            <w:tcMar>
              <w:top w:w="22" w:type="dxa"/>
              <w:start w:w="28" w:type="dxa"/>
              <w:bottom w:w="22" w:type="dxa"/>
              <w:end w:w="28" w:type="dxa"/>
            </w:tcMar>
            <w:vAlign w:val="top"/>
          </w:tcPr>
          <w:p>
            <w:pPr>
              <w:spacing w:after="0" w:line="216" w:lineRule="auto"/>
            </w:pPr>
            <w:r>
              <w:rPr>
                <w:rFonts w:ascii="Cambria" w:hAnsi="Cambria"/>
                <w:sz w:val="12"/>
              </w:rPr>
              <w:t>Early condition-of-existence lineage</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1990</w:t>
            </w:r>
          </w:p>
        </w:tc>
        <w:tc>
          <w:tcPr>
            <w:tcW w:type="dxa" w:w="2088"/>
            <w:tcMar>
              <w:top w:w="22" w:type="dxa"/>
              <w:start w:w="28" w:type="dxa"/>
              <w:bottom w:w="22" w:type="dxa"/>
              <w:end w:w="28" w:type="dxa"/>
            </w:tcMar>
            <w:vAlign w:val="top"/>
          </w:tcPr>
          <w:p>
            <w:pPr>
              <w:spacing w:after="0" w:line="216" w:lineRule="auto"/>
            </w:pPr>
            <w:r>
              <w:rPr>
                <w:rFonts w:ascii="Cambria" w:hAnsi="Cambria"/>
                <w:sz w:val="12"/>
              </w:rPr>
              <w:t>J.-P. Aubin</w:t>
            </w:r>
          </w:p>
        </w:tc>
        <w:tc>
          <w:tcPr>
            <w:tcW w:type="dxa" w:w="2160"/>
            <w:tcMar>
              <w:top w:w="22" w:type="dxa"/>
              <w:start w:w="28" w:type="dxa"/>
              <w:bottom w:w="22" w:type="dxa"/>
              <w:end w:w="28" w:type="dxa"/>
            </w:tcMar>
            <w:vAlign w:val="top"/>
          </w:tcPr>
          <w:p>
            <w:pPr>
              <w:spacing w:after="0" w:line="216" w:lineRule="auto"/>
            </w:pPr>
            <w:r>
              <w:rPr>
                <w:rFonts w:ascii="Cambria" w:hAnsi="Cambria"/>
                <w:sz w:val="12"/>
              </w:rPr>
              <w:t>Viability theory</w:t>
            </w:r>
          </w:p>
        </w:tc>
        <w:tc>
          <w:tcPr>
            <w:tcW w:type="dxa" w:w="3960"/>
            <w:tcMar>
              <w:top w:w="22" w:type="dxa"/>
              <w:start w:w="28" w:type="dxa"/>
              <w:bottom w:w="22" w:type="dxa"/>
              <w:end w:w="28" w:type="dxa"/>
            </w:tcMar>
            <w:vAlign w:val="top"/>
          </w:tcPr>
          <w:p>
            <w:pPr>
              <w:spacing w:after="0" w:line="216" w:lineRule="auto"/>
            </w:pPr>
            <w:r>
              <w:rPr>
                <w:rFonts w:ascii="Cambria" w:hAnsi="Cambria"/>
                <w:sz w:val="12"/>
              </w:rPr>
              <w:t>ẋ(t) ∈ F(x(t)), with x(t) constrained to a viability domain K</w:t>
            </w:r>
          </w:p>
        </w:tc>
        <w:tc>
          <w:tcPr>
            <w:tcW w:type="dxa" w:w="2664"/>
            <w:tcMar>
              <w:top w:w="22" w:type="dxa"/>
              <w:start w:w="28" w:type="dxa"/>
              <w:bottom w:w="22" w:type="dxa"/>
              <w:end w:w="28" w:type="dxa"/>
            </w:tcMar>
            <w:vAlign w:val="top"/>
          </w:tcPr>
          <w:p>
            <w:pPr>
              <w:spacing w:after="0" w:line="216" w:lineRule="auto"/>
            </w:pPr>
            <w:r>
              <w:rPr>
                <w:rFonts w:ascii="Cambria" w:hAnsi="Cambria"/>
                <w:sz w:val="12"/>
              </w:rPr>
              <w:t>10.1137/0328044</w:t>
            </w:r>
          </w:p>
        </w:tc>
        <w:tc>
          <w:tcPr>
            <w:tcW w:type="dxa" w:w="1800"/>
            <w:tcMar>
              <w:top w:w="22" w:type="dxa"/>
              <w:start w:w="28" w:type="dxa"/>
              <w:bottom w:w="22" w:type="dxa"/>
              <w:end w:w="28" w:type="dxa"/>
            </w:tcMar>
            <w:vAlign w:val="top"/>
          </w:tcPr>
          <w:p>
            <w:pPr>
              <w:spacing w:after="0" w:line="216" w:lineRule="auto"/>
            </w:pPr>
            <w:r>
              <w:rPr>
                <w:rFonts w:ascii="Cambria" w:hAnsi="Cambria"/>
                <w:sz w:val="12"/>
              </w:rPr>
              <w:t>Mathematics / control</w:t>
            </w:r>
          </w:p>
        </w:tc>
        <w:tc>
          <w:tcPr>
            <w:tcW w:type="dxa" w:w="1152"/>
            <w:tcMar>
              <w:top w:w="22" w:type="dxa"/>
              <w:start w:w="28" w:type="dxa"/>
              <w:bottom w:w="22" w:type="dxa"/>
              <w:end w:w="28" w:type="dxa"/>
            </w:tcMar>
            <w:vAlign w:val="top"/>
          </w:tcPr>
          <w:p>
            <w:pPr>
              <w:spacing w:after="0" w:line="216" w:lineRule="auto"/>
            </w:pPr>
            <w:r>
              <w:rPr>
                <w:rFonts w:ascii="Cambria" w:hAnsi="Cambria"/>
                <w:sz w:val="12"/>
              </w:rPr>
              <w:t>E4/E5</w:t>
            </w:r>
          </w:p>
        </w:tc>
        <w:tc>
          <w:tcPr>
            <w:tcW w:type="dxa" w:w="3384"/>
            <w:tcMar>
              <w:top w:w="22" w:type="dxa"/>
              <w:start w:w="28" w:type="dxa"/>
              <w:bottom w:w="22" w:type="dxa"/>
              <w:end w:w="28" w:type="dxa"/>
            </w:tcMar>
            <w:vAlign w:val="top"/>
          </w:tcPr>
          <w:p>
            <w:pPr>
              <w:spacing w:after="0" w:line="216" w:lineRule="auto"/>
            </w:pPr>
            <w:r>
              <w:rPr>
                <w:rFonts w:ascii="Cambria" w:hAnsi="Cambria"/>
                <w:sz w:val="12"/>
              </w:rPr>
              <w:t>Formal admissibility over time; does not define coherence as universal primitive</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2005</w:t>
            </w:r>
          </w:p>
        </w:tc>
        <w:tc>
          <w:tcPr>
            <w:tcW w:type="dxa" w:w="2088"/>
            <w:tcMar>
              <w:top w:w="22" w:type="dxa"/>
              <w:start w:w="28" w:type="dxa"/>
              <w:bottom w:w="22" w:type="dxa"/>
              <w:end w:w="28" w:type="dxa"/>
            </w:tcMar>
            <w:vAlign w:val="top"/>
          </w:tcPr>
          <w:p>
            <w:pPr>
              <w:spacing w:after="0" w:line="216" w:lineRule="auto"/>
            </w:pPr>
            <w:r>
              <w:rPr>
                <w:rFonts w:ascii="Cambria" w:hAnsi="Cambria"/>
                <w:sz w:val="12"/>
              </w:rPr>
              <w:t>Acebrón et al. / Kuramoto</w:t>
            </w:r>
          </w:p>
        </w:tc>
        <w:tc>
          <w:tcPr>
            <w:tcW w:type="dxa" w:w="2160"/>
            <w:tcMar>
              <w:top w:w="22" w:type="dxa"/>
              <w:start w:w="28" w:type="dxa"/>
              <w:bottom w:w="22" w:type="dxa"/>
              <w:end w:w="28" w:type="dxa"/>
            </w:tcMar>
            <w:vAlign w:val="top"/>
          </w:tcPr>
          <w:p>
            <w:pPr>
              <w:spacing w:after="0" w:line="216" w:lineRule="auto"/>
            </w:pPr>
            <w:r>
              <w:rPr>
                <w:rFonts w:ascii="Cambria" w:hAnsi="Cambria"/>
                <w:sz w:val="12"/>
              </w:rPr>
              <w:t>Phase synchronization</w:t>
            </w:r>
          </w:p>
        </w:tc>
        <w:tc>
          <w:tcPr>
            <w:tcW w:type="dxa" w:w="3960"/>
            <w:tcMar>
              <w:top w:w="22" w:type="dxa"/>
              <w:start w:w="28" w:type="dxa"/>
              <w:bottom w:w="22" w:type="dxa"/>
              <w:end w:w="28" w:type="dxa"/>
            </w:tcMar>
            <w:vAlign w:val="top"/>
          </w:tcPr>
          <w:p>
            <w:pPr>
              <w:spacing w:after="0" w:line="216" w:lineRule="auto"/>
            </w:pPr>
            <w:r>
              <w:rPr>
                <w:rFonts w:ascii="Cambria" w:hAnsi="Cambria"/>
                <w:sz w:val="12"/>
              </w:rPr>
              <w:t>Z = R e^{iψ} = (1/N) Σ exp(iθ_j)</w:t>
            </w:r>
          </w:p>
        </w:tc>
        <w:tc>
          <w:tcPr>
            <w:tcW w:type="dxa" w:w="2664"/>
            <w:tcMar>
              <w:top w:w="22" w:type="dxa"/>
              <w:start w:w="28" w:type="dxa"/>
              <w:bottom w:w="22" w:type="dxa"/>
              <w:end w:w="28" w:type="dxa"/>
            </w:tcMar>
            <w:vAlign w:val="top"/>
          </w:tcPr>
          <w:p>
            <w:pPr>
              <w:spacing w:after="0" w:line="216" w:lineRule="auto"/>
            </w:pPr>
            <w:r>
              <w:rPr>
                <w:rFonts w:ascii="Cambria" w:hAnsi="Cambria"/>
                <w:sz w:val="12"/>
              </w:rPr>
              <w:t>10.1103/RevModPhys.77.137</w:t>
            </w:r>
          </w:p>
        </w:tc>
        <w:tc>
          <w:tcPr>
            <w:tcW w:type="dxa" w:w="1800"/>
            <w:tcMar>
              <w:top w:w="22" w:type="dxa"/>
              <w:start w:w="28" w:type="dxa"/>
              <w:bottom w:w="22" w:type="dxa"/>
              <w:end w:w="28" w:type="dxa"/>
            </w:tcMar>
            <w:vAlign w:val="top"/>
          </w:tcPr>
          <w:p>
            <w:pPr>
              <w:spacing w:after="0" w:line="216" w:lineRule="auto"/>
            </w:pPr>
            <w:r>
              <w:rPr>
                <w:rFonts w:ascii="Cambria" w:hAnsi="Cambria"/>
                <w:sz w:val="12"/>
              </w:rPr>
              <w:t>Nonlinear dynamics</w:t>
            </w:r>
          </w:p>
        </w:tc>
        <w:tc>
          <w:tcPr>
            <w:tcW w:type="dxa" w:w="1152"/>
            <w:tcMar>
              <w:top w:w="22" w:type="dxa"/>
              <w:start w:w="28" w:type="dxa"/>
              <w:bottom w:w="22" w:type="dxa"/>
              <w:end w:w="28" w:type="dxa"/>
            </w:tcMar>
            <w:vAlign w:val="top"/>
          </w:tcPr>
          <w:p>
            <w:pPr>
              <w:spacing w:after="0" w:line="216" w:lineRule="auto"/>
            </w:pPr>
            <w:r>
              <w:rPr>
                <w:rFonts w:ascii="Cambria" w:hAnsi="Cambria"/>
                <w:sz w:val="12"/>
              </w:rPr>
              <w:t>E3/E6</w:t>
            </w:r>
          </w:p>
        </w:tc>
        <w:tc>
          <w:tcPr>
            <w:tcW w:type="dxa" w:w="3384"/>
            <w:tcMar>
              <w:top w:w="22" w:type="dxa"/>
              <w:start w:w="28" w:type="dxa"/>
              <w:bottom w:w="22" w:type="dxa"/>
              <w:end w:w="28" w:type="dxa"/>
            </w:tcMar>
            <w:vAlign w:val="top"/>
          </w:tcPr>
          <w:p>
            <w:pPr>
              <w:spacing w:after="0" w:line="216" w:lineRule="auto"/>
            </w:pPr>
            <w:r>
              <w:rPr>
                <w:rFonts w:ascii="Cambria" w:hAnsi="Cambria"/>
                <w:sz w:val="12"/>
              </w:rPr>
              <w:t>Rigorous phase-order proxy; domain-specific</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2012</w:t>
            </w:r>
          </w:p>
        </w:tc>
        <w:tc>
          <w:tcPr>
            <w:tcW w:type="dxa" w:w="2088"/>
            <w:tcMar>
              <w:top w:w="22" w:type="dxa"/>
              <w:start w:w="28" w:type="dxa"/>
              <w:bottom w:w="22" w:type="dxa"/>
              <w:end w:w="28" w:type="dxa"/>
            </w:tcMar>
            <w:vAlign w:val="top"/>
          </w:tcPr>
          <w:p>
            <w:pPr>
              <w:spacing w:after="0" w:line="216" w:lineRule="auto"/>
            </w:pPr>
            <w:r>
              <w:rPr>
                <w:rFonts w:ascii="Cambria" w:hAnsi="Cambria"/>
                <w:sz w:val="12"/>
              </w:rPr>
              <w:t>Karl Friston</w:t>
            </w:r>
          </w:p>
        </w:tc>
        <w:tc>
          <w:tcPr>
            <w:tcW w:type="dxa" w:w="2160"/>
            <w:tcMar>
              <w:top w:w="22" w:type="dxa"/>
              <w:start w:w="28" w:type="dxa"/>
              <w:bottom w:w="22" w:type="dxa"/>
              <w:end w:w="28" w:type="dxa"/>
            </w:tcMar>
            <w:vAlign w:val="top"/>
          </w:tcPr>
          <w:p>
            <w:pPr>
              <w:spacing w:after="0" w:line="216" w:lineRule="auto"/>
            </w:pPr>
            <w:r>
              <w:rPr>
                <w:rFonts w:ascii="Cambria" w:hAnsi="Cambria"/>
                <w:sz w:val="12"/>
              </w:rPr>
              <w:t>Free Energy Principle</w:t>
            </w:r>
          </w:p>
        </w:tc>
        <w:tc>
          <w:tcPr>
            <w:tcW w:type="dxa" w:w="3960"/>
            <w:tcMar>
              <w:top w:w="22" w:type="dxa"/>
              <w:start w:w="28" w:type="dxa"/>
              <w:bottom w:w="22" w:type="dxa"/>
              <w:end w:w="28" w:type="dxa"/>
            </w:tcMar>
            <w:vAlign w:val="top"/>
          </w:tcPr>
          <w:p>
            <w:pPr>
              <w:spacing w:after="0" w:line="216" w:lineRule="auto"/>
            </w:pPr>
            <w:r>
              <w:rPr>
                <w:rFonts w:ascii="Cambria" w:hAnsi="Cambria"/>
                <w:sz w:val="12"/>
              </w:rPr>
              <w:t>Variational free-energy / Fokker–Planck formalism for self-organizing biological systems</w:t>
            </w:r>
          </w:p>
        </w:tc>
        <w:tc>
          <w:tcPr>
            <w:tcW w:type="dxa" w:w="2664"/>
            <w:tcMar>
              <w:top w:w="22" w:type="dxa"/>
              <w:start w:w="28" w:type="dxa"/>
              <w:bottom w:w="22" w:type="dxa"/>
              <w:end w:w="28" w:type="dxa"/>
            </w:tcMar>
            <w:vAlign w:val="top"/>
          </w:tcPr>
          <w:p>
            <w:pPr>
              <w:spacing w:after="0" w:line="216" w:lineRule="auto"/>
            </w:pPr>
            <w:r>
              <w:rPr>
                <w:rFonts w:ascii="Cambria" w:hAnsi="Cambria"/>
                <w:sz w:val="12"/>
              </w:rPr>
              <w:t>10.3390/e14112100</w:t>
            </w:r>
          </w:p>
        </w:tc>
        <w:tc>
          <w:tcPr>
            <w:tcW w:type="dxa" w:w="1800"/>
            <w:tcMar>
              <w:top w:w="22" w:type="dxa"/>
              <w:start w:w="28" w:type="dxa"/>
              <w:bottom w:w="22" w:type="dxa"/>
              <w:end w:w="28" w:type="dxa"/>
            </w:tcMar>
            <w:vAlign w:val="top"/>
          </w:tcPr>
          <w:p>
            <w:pPr>
              <w:spacing w:after="0" w:line="216" w:lineRule="auto"/>
            </w:pPr>
            <w:r>
              <w:rPr>
                <w:rFonts w:ascii="Cambria" w:hAnsi="Cambria"/>
                <w:sz w:val="12"/>
              </w:rPr>
              <w:t>Biology / cognition</w:t>
            </w:r>
          </w:p>
        </w:tc>
        <w:tc>
          <w:tcPr>
            <w:tcW w:type="dxa" w:w="1152"/>
            <w:tcMar>
              <w:top w:w="22" w:type="dxa"/>
              <w:start w:w="28" w:type="dxa"/>
              <w:bottom w:w="22" w:type="dxa"/>
              <w:end w:w="28" w:type="dxa"/>
            </w:tcMar>
            <w:vAlign w:val="top"/>
          </w:tcPr>
          <w:p>
            <w:pPr>
              <w:spacing w:after="0" w:line="216" w:lineRule="auto"/>
            </w:pPr>
            <w:r>
              <w:rPr>
                <w:rFonts w:ascii="Cambria" w:hAnsi="Cambria"/>
                <w:sz w:val="12"/>
              </w:rPr>
              <w:t>E4/E5</w:t>
            </w:r>
          </w:p>
        </w:tc>
        <w:tc>
          <w:tcPr>
            <w:tcW w:type="dxa" w:w="3384"/>
            <w:tcMar>
              <w:top w:w="22" w:type="dxa"/>
              <w:start w:w="28" w:type="dxa"/>
              <w:bottom w:w="22" w:type="dxa"/>
              <w:end w:w="28" w:type="dxa"/>
            </w:tcMar>
            <w:vAlign w:val="top"/>
          </w:tcPr>
          <w:p>
            <w:pPr>
              <w:spacing w:after="0" w:line="216" w:lineRule="auto"/>
            </w:pPr>
            <w:r>
              <w:rPr>
                <w:rFonts w:ascii="Cambria" w:hAnsi="Cambria"/>
                <w:sz w:val="12"/>
              </w:rPr>
              <w:t>Established mathematical programme on resisting disorder</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2014</w:t>
            </w:r>
          </w:p>
        </w:tc>
        <w:tc>
          <w:tcPr>
            <w:tcW w:type="dxa" w:w="2088"/>
            <w:tcMar>
              <w:top w:w="22" w:type="dxa"/>
              <w:start w:w="28" w:type="dxa"/>
              <w:bottom w:w="22" w:type="dxa"/>
              <w:end w:w="28" w:type="dxa"/>
            </w:tcMar>
            <w:vAlign w:val="top"/>
          </w:tcPr>
          <w:p>
            <w:pPr>
              <w:spacing w:after="0" w:line="216" w:lineRule="auto"/>
            </w:pPr>
            <w:r>
              <w:rPr>
                <w:rFonts w:ascii="Cambria" w:hAnsi="Cambria"/>
                <w:sz w:val="12"/>
              </w:rPr>
              <w:t>Baumgratz, Cramer &amp; Plenio</w:t>
            </w:r>
          </w:p>
        </w:tc>
        <w:tc>
          <w:tcPr>
            <w:tcW w:type="dxa" w:w="2160"/>
            <w:tcMar>
              <w:top w:w="22" w:type="dxa"/>
              <w:start w:w="28" w:type="dxa"/>
              <w:bottom w:w="22" w:type="dxa"/>
              <w:end w:w="28" w:type="dxa"/>
            </w:tcMar>
            <w:vAlign w:val="top"/>
          </w:tcPr>
          <w:p>
            <w:pPr>
              <w:spacing w:after="0" w:line="216" w:lineRule="auto"/>
            </w:pPr>
            <w:r>
              <w:rPr>
                <w:rFonts w:ascii="Cambria" w:hAnsi="Cambria"/>
                <w:sz w:val="12"/>
              </w:rPr>
              <w:t>Quantum resource coherence</w:t>
            </w:r>
          </w:p>
        </w:tc>
        <w:tc>
          <w:tcPr>
            <w:tcW w:type="dxa" w:w="3960"/>
            <w:tcMar>
              <w:top w:w="22" w:type="dxa"/>
              <w:start w:w="28" w:type="dxa"/>
              <w:bottom w:w="22" w:type="dxa"/>
              <w:end w:w="28" w:type="dxa"/>
            </w:tcMar>
            <w:vAlign w:val="top"/>
          </w:tcPr>
          <w:p>
            <w:pPr>
              <w:spacing w:after="0" w:line="216" w:lineRule="auto"/>
            </w:pPr>
            <w:r>
              <w:rPr>
                <w:rFonts w:ascii="Cambria" w:hAnsi="Cambria"/>
                <w:sz w:val="12"/>
              </w:rPr>
              <w:t>C_rel(ρ)=S(ρ_diag)-S(ρ); C_l1(ρ)=Σ_{i≠j}|ρ_ij|</w:t>
            </w:r>
          </w:p>
        </w:tc>
        <w:tc>
          <w:tcPr>
            <w:tcW w:type="dxa" w:w="2664"/>
            <w:tcMar>
              <w:top w:w="22" w:type="dxa"/>
              <w:start w:w="28" w:type="dxa"/>
              <w:bottom w:w="22" w:type="dxa"/>
              <w:end w:w="28" w:type="dxa"/>
            </w:tcMar>
            <w:vAlign w:val="top"/>
          </w:tcPr>
          <w:p>
            <w:pPr>
              <w:spacing w:after="0" w:line="216" w:lineRule="auto"/>
            </w:pPr>
            <w:r>
              <w:rPr>
                <w:rFonts w:ascii="Cambria" w:hAnsi="Cambria"/>
                <w:sz w:val="12"/>
              </w:rPr>
              <w:t>10.1103/PhysRevLett.113.140401</w:t>
            </w:r>
          </w:p>
        </w:tc>
        <w:tc>
          <w:tcPr>
            <w:tcW w:type="dxa" w:w="1800"/>
            <w:tcMar>
              <w:top w:w="22" w:type="dxa"/>
              <w:start w:w="28" w:type="dxa"/>
              <w:bottom w:w="22" w:type="dxa"/>
              <w:end w:w="28" w:type="dxa"/>
            </w:tcMar>
            <w:vAlign w:val="top"/>
          </w:tcPr>
          <w:p>
            <w:pPr>
              <w:spacing w:after="0" w:line="216" w:lineRule="auto"/>
            </w:pPr>
            <w:r>
              <w:rPr>
                <w:rFonts w:ascii="Cambria" w:hAnsi="Cambria"/>
                <w:sz w:val="12"/>
              </w:rPr>
              <w:t>Quantum information</w:t>
            </w:r>
          </w:p>
        </w:tc>
        <w:tc>
          <w:tcPr>
            <w:tcW w:type="dxa" w:w="1152"/>
            <w:tcMar>
              <w:top w:w="22" w:type="dxa"/>
              <w:start w:w="28" w:type="dxa"/>
              <w:bottom w:w="22" w:type="dxa"/>
              <w:end w:w="28" w:type="dxa"/>
            </w:tcMar>
            <w:vAlign w:val="top"/>
          </w:tcPr>
          <w:p>
            <w:pPr>
              <w:spacing w:after="0" w:line="216" w:lineRule="auto"/>
            </w:pPr>
            <w:r>
              <w:rPr>
                <w:rFonts w:ascii="Cambria" w:hAnsi="Cambria"/>
                <w:sz w:val="12"/>
              </w:rPr>
              <w:t>E3/E6</w:t>
            </w:r>
          </w:p>
        </w:tc>
        <w:tc>
          <w:tcPr>
            <w:tcW w:type="dxa" w:w="3384"/>
            <w:tcMar>
              <w:top w:w="22" w:type="dxa"/>
              <w:start w:w="28" w:type="dxa"/>
              <w:bottom w:w="22" w:type="dxa"/>
              <w:end w:w="28" w:type="dxa"/>
            </w:tcMar>
            <w:vAlign w:val="top"/>
          </w:tcPr>
          <w:p>
            <w:pPr>
              <w:spacing w:after="0" w:line="216" w:lineRule="auto"/>
            </w:pPr>
            <w:r>
              <w:rPr>
                <w:rFonts w:ascii="Cambria" w:hAnsi="Cambria"/>
                <w:sz w:val="12"/>
              </w:rPr>
              <w:t>Rigorous coherence monotones; basis-dependent quantum resource</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2015</w:t>
            </w:r>
          </w:p>
        </w:tc>
        <w:tc>
          <w:tcPr>
            <w:tcW w:type="dxa" w:w="2088"/>
            <w:tcMar>
              <w:top w:w="22" w:type="dxa"/>
              <w:start w:w="28" w:type="dxa"/>
              <w:bottom w:w="22" w:type="dxa"/>
              <w:end w:w="28" w:type="dxa"/>
            </w:tcMar>
            <w:vAlign w:val="top"/>
          </w:tcPr>
          <w:p>
            <w:pPr>
              <w:spacing w:after="0" w:line="216" w:lineRule="auto"/>
            </w:pPr>
            <w:r>
              <w:rPr>
                <w:rFonts w:ascii="Cambria" w:hAnsi="Cambria"/>
                <w:sz w:val="12"/>
              </w:rPr>
              <w:t>Montévil &amp; Mossio</w:t>
            </w:r>
          </w:p>
        </w:tc>
        <w:tc>
          <w:tcPr>
            <w:tcW w:type="dxa" w:w="2160"/>
            <w:tcMar>
              <w:top w:w="22" w:type="dxa"/>
              <w:start w:w="28" w:type="dxa"/>
              <w:bottom w:w="22" w:type="dxa"/>
              <w:end w:w="28" w:type="dxa"/>
            </w:tcMar>
            <w:vAlign w:val="top"/>
          </w:tcPr>
          <w:p>
            <w:pPr>
              <w:spacing w:after="0" w:line="216" w:lineRule="auto"/>
            </w:pPr>
            <w:r>
              <w:rPr>
                <w:rFonts w:ascii="Cambria" w:hAnsi="Cambria"/>
                <w:sz w:val="12"/>
              </w:rPr>
              <w:t>Closure of constraints</w:t>
            </w:r>
          </w:p>
        </w:tc>
        <w:tc>
          <w:tcPr>
            <w:tcW w:type="dxa" w:w="3960"/>
            <w:tcMar>
              <w:top w:w="22" w:type="dxa"/>
              <w:start w:w="28" w:type="dxa"/>
              <w:bottom w:w="22" w:type="dxa"/>
              <w:end w:w="28" w:type="dxa"/>
            </w:tcMar>
            <w:vAlign w:val="top"/>
          </w:tcPr>
          <w:p>
            <w:pPr>
              <w:spacing w:after="0" w:line="216" w:lineRule="auto"/>
            </w:pPr>
            <w:r>
              <w:rPr>
                <w:rFonts w:ascii="Cambria" w:hAnsi="Cambria"/>
                <w:sz w:val="12"/>
              </w:rPr>
              <w:t>Mutually dependent constraints conserved at relevant time scales; no single scalar</w:t>
            </w:r>
          </w:p>
        </w:tc>
        <w:tc>
          <w:tcPr>
            <w:tcW w:type="dxa" w:w="2664"/>
            <w:tcMar>
              <w:top w:w="22" w:type="dxa"/>
              <w:start w:w="28" w:type="dxa"/>
              <w:bottom w:w="22" w:type="dxa"/>
              <w:end w:w="28" w:type="dxa"/>
            </w:tcMar>
            <w:vAlign w:val="top"/>
          </w:tcPr>
          <w:p>
            <w:pPr>
              <w:spacing w:after="0" w:line="216" w:lineRule="auto"/>
            </w:pPr>
            <w:r>
              <w:rPr>
                <w:rFonts w:ascii="Cambria" w:hAnsi="Cambria"/>
                <w:sz w:val="12"/>
              </w:rPr>
              <w:t>10.1016/j.jtbi.2015.02.029</w:t>
            </w:r>
          </w:p>
        </w:tc>
        <w:tc>
          <w:tcPr>
            <w:tcW w:type="dxa" w:w="1800"/>
            <w:tcMar>
              <w:top w:w="22" w:type="dxa"/>
              <w:start w:w="28" w:type="dxa"/>
              <w:bottom w:w="22" w:type="dxa"/>
              <w:end w:w="28" w:type="dxa"/>
            </w:tcMar>
            <w:vAlign w:val="top"/>
          </w:tcPr>
          <w:p>
            <w:pPr>
              <w:spacing w:after="0" w:line="216" w:lineRule="auto"/>
            </w:pPr>
            <w:r>
              <w:rPr>
                <w:rFonts w:ascii="Cambria" w:hAnsi="Cambria"/>
                <w:sz w:val="12"/>
              </w:rPr>
              <w:t>Theoretical biology</w:t>
            </w:r>
          </w:p>
        </w:tc>
        <w:tc>
          <w:tcPr>
            <w:tcW w:type="dxa" w:w="1152"/>
            <w:tcMar>
              <w:top w:w="22" w:type="dxa"/>
              <w:start w:w="28" w:type="dxa"/>
              <w:bottom w:w="22" w:type="dxa"/>
              <w:end w:w="28" w:type="dxa"/>
            </w:tcMar>
            <w:vAlign w:val="top"/>
          </w:tcPr>
          <w:p>
            <w:pPr>
              <w:spacing w:after="0" w:line="216" w:lineRule="auto"/>
            </w:pPr>
            <w:r>
              <w:rPr>
                <w:rFonts w:ascii="Cambria" w:hAnsi="Cambria"/>
                <w:sz w:val="12"/>
              </w:rPr>
              <w:t>E4/E5</w:t>
            </w:r>
          </w:p>
        </w:tc>
        <w:tc>
          <w:tcPr>
            <w:tcW w:type="dxa" w:w="3384"/>
            <w:tcMar>
              <w:top w:w="22" w:type="dxa"/>
              <w:start w:w="28" w:type="dxa"/>
              <w:bottom w:w="22" w:type="dxa"/>
              <w:end w:w="28" w:type="dxa"/>
            </w:tcMar>
            <w:vAlign w:val="top"/>
          </w:tcPr>
          <w:p>
            <w:pPr>
              <w:spacing w:after="0" w:line="216" w:lineRule="auto"/>
            </w:pPr>
            <w:r>
              <w:rPr>
                <w:rFonts w:ascii="Cambria" w:hAnsi="Cambria"/>
                <w:sz w:val="12"/>
              </w:rPr>
              <w:t>Formal closure; operational boundaries of biological organization</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2016</w:t>
            </w:r>
          </w:p>
        </w:tc>
        <w:tc>
          <w:tcPr>
            <w:tcW w:type="dxa" w:w="2088"/>
            <w:tcMar>
              <w:top w:w="22" w:type="dxa"/>
              <w:start w:w="28" w:type="dxa"/>
              <w:bottom w:w="22" w:type="dxa"/>
              <w:end w:w="28" w:type="dxa"/>
            </w:tcMar>
            <w:vAlign w:val="top"/>
          </w:tcPr>
          <w:p>
            <w:pPr>
              <w:spacing w:after="0" w:line="216" w:lineRule="auto"/>
            </w:pPr>
            <w:r>
              <w:rPr>
                <w:rFonts w:ascii="Cambria" w:hAnsi="Cambria"/>
                <w:sz w:val="12"/>
              </w:rPr>
              <w:t>Hu &amp; Fan</w:t>
            </w:r>
          </w:p>
        </w:tc>
        <w:tc>
          <w:tcPr>
            <w:tcW w:type="dxa" w:w="2160"/>
            <w:tcMar>
              <w:top w:w="22" w:type="dxa"/>
              <w:start w:w="28" w:type="dxa"/>
              <w:bottom w:w="22" w:type="dxa"/>
              <w:end w:w="28" w:type="dxa"/>
            </w:tcMar>
            <w:vAlign w:val="top"/>
          </w:tcPr>
          <w:p>
            <w:pPr>
              <w:spacing w:after="0" w:line="216" w:lineRule="auto"/>
            </w:pPr>
            <w:r>
              <w:rPr>
                <w:rFonts w:ascii="Cambria" w:hAnsi="Cambria"/>
                <w:sz w:val="12"/>
              </w:rPr>
              <w:t>Evolution equation for quantum coherence</w:t>
            </w:r>
          </w:p>
        </w:tc>
        <w:tc>
          <w:tcPr>
            <w:tcW w:type="dxa" w:w="3960"/>
            <w:tcMar>
              <w:top w:w="22" w:type="dxa"/>
              <w:start w:w="28" w:type="dxa"/>
              <w:bottom w:w="22" w:type="dxa"/>
              <w:end w:w="28" w:type="dxa"/>
            </w:tcMar>
            <w:vAlign w:val="top"/>
          </w:tcPr>
          <w:p>
            <w:pPr>
              <w:spacing w:after="0" w:line="216" w:lineRule="auto"/>
            </w:pPr>
            <w:r>
              <w:rPr>
                <w:rFonts w:ascii="Cambria" w:hAnsi="Cambria"/>
                <w:sz w:val="12"/>
              </w:rPr>
              <w:t>Factorization relation for l1 coherence under classes of quantum channels (exact primary equation to extract in Pass 2)</w:t>
            </w:r>
          </w:p>
        </w:tc>
        <w:tc>
          <w:tcPr>
            <w:tcW w:type="dxa" w:w="2664"/>
            <w:tcMar>
              <w:top w:w="22" w:type="dxa"/>
              <w:start w:w="28" w:type="dxa"/>
              <w:bottom w:w="22" w:type="dxa"/>
              <w:end w:w="28" w:type="dxa"/>
            </w:tcMar>
            <w:vAlign w:val="top"/>
          </w:tcPr>
          <w:p>
            <w:pPr>
              <w:spacing w:after="0" w:line="216" w:lineRule="auto"/>
            </w:pPr>
            <w:r>
              <w:rPr>
                <w:rFonts w:ascii="Cambria" w:hAnsi="Cambria"/>
                <w:sz w:val="12"/>
              </w:rPr>
              <w:t>10.1038/srep29260</w:t>
            </w:r>
          </w:p>
        </w:tc>
        <w:tc>
          <w:tcPr>
            <w:tcW w:type="dxa" w:w="1800"/>
            <w:tcMar>
              <w:top w:w="22" w:type="dxa"/>
              <w:start w:w="28" w:type="dxa"/>
              <w:bottom w:w="22" w:type="dxa"/>
              <w:end w:w="28" w:type="dxa"/>
            </w:tcMar>
            <w:vAlign w:val="top"/>
          </w:tcPr>
          <w:p>
            <w:pPr>
              <w:spacing w:after="0" w:line="216" w:lineRule="auto"/>
            </w:pPr>
            <w:r>
              <w:rPr>
                <w:rFonts w:ascii="Cambria" w:hAnsi="Cambria"/>
                <w:sz w:val="12"/>
              </w:rPr>
              <w:t>Quantum dynamics</w:t>
            </w:r>
          </w:p>
        </w:tc>
        <w:tc>
          <w:tcPr>
            <w:tcW w:type="dxa" w:w="1152"/>
            <w:tcMar>
              <w:top w:w="22" w:type="dxa"/>
              <w:start w:w="28" w:type="dxa"/>
              <w:bottom w:w="22" w:type="dxa"/>
              <w:end w:w="28" w:type="dxa"/>
            </w:tcMar>
            <w:vAlign w:val="top"/>
          </w:tcPr>
          <w:p>
            <w:pPr>
              <w:spacing w:after="0" w:line="216" w:lineRule="auto"/>
            </w:pPr>
            <w:r>
              <w:rPr>
                <w:rFonts w:ascii="Cambria" w:hAnsi="Cambria"/>
                <w:sz w:val="12"/>
              </w:rPr>
              <w:t>E3/E4</w:t>
            </w:r>
          </w:p>
        </w:tc>
        <w:tc>
          <w:tcPr>
            <w:tcW w:type="dxa" w:w="3384"/>
            <w:tcMar>
              <w:top w:w="22" w:type="dxa"/>
              <w:start w:w="28" w:type="dxa"/>
              <w:bottom w:w="22" w:type="dxa"/>
              <w:end w:w="28" w:type="dxa"/>
            </w:tcMar>
            <w:vAlign w:val="top"/>
          </w:tcPr>
          <w:p>
            <w:pPr>
              <w:spacing w:after="0" w:line="216" w:lineRule="auto"/>
            </w:pPr>
            <w:r>
              <w:rPr>
                <w:rFonts w:ascii="Cambria" w:hAnsi="Cambria"/>
                <w:sz w:val="12"/>
              </w:rPr>
              <w:t>Peer-reviewed, CC BY 4.0; explicit coherence dynamics</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2018</w:t>
            </w:r>
          </w:p>
        </w:tc>
        <w:tc>
          <w:tcPr>
            <w:tcW w:type="dxa" w:w="2088"/>
            <w:tcMar>
              <w:top w:w="22" w:type="dxa"/>
              <w:start w:w="28" w:type="dxa"/>
              <w:bottom w:w="22" w:type="dxa"/>
              <w:end w:w="28" w:type="dxa"/>
            </w:tcMar>
            <w:vAlign w:val="top"/>
          </w:tcPr>
          <w:p>
            <w:pPr>
              <w:spacing w:after="0" w:line="216" w:lineRule="auto"/>
            </w:pPr>
            <w:r>
              <w:rPr>
                <w:rFonts w:ascii="Cambria" w:hAnsi="Cambria"/>
                <w:sz w:val="12"/>
              </w:rPr>
              <w:t>Jake Quilty-Dunn</w:t>
            </w:r>
          </w:p>
        </w:tc>
        <w:tc>
          <w:tcPr>
            <w:tcW w:type="dxa" w:w="2160"/>
            <w:tcMar>
              <w:top w:w="22" w:type="dxa"/>
              <w:start w:w="28" w:type="dxa"/>
              <w:bottom w:w="22" w:type="dxa"/>
              <w:end w:w="28" w:type="dxa"/>
            </w:tcMar>
            <w:vAlign w:val="top"/>
          </w:tcPr>
          <w:p>
            <w:pPr>
              <w:spacing w:after="0" w:line="216" w:lineRule="auto"/>
            </w:pPr>
            <w:r>
              <w:rPr>
                <w:rFonts w:ascii="Cambria" w:hAnsi="Cambria"/>
                <w:sz w:val="12"/>
              </w:rPr>
              <w:t>Phenomenal coherence</w:t>
            </w:r>
          </w:p>
        </w:tc>
        <w:tc>
          <w:tcPr>
            <w:tcW w:type="dxa" w:w="3960"/>
            <w:tcMar>
              <w:top w:w="22" w:type="dxa"/>
              <w:start w:w="28" w:type="dxa"/>
              <w:bottom w:w="22" w:type="dxa"/>
              <w:end w:w="28" w:type="dxa"/>
            </w:tcMar>
            <w:vAlign w:val="top"/>
          </w:tcPr>
          <w:p>
            <w:pPr>
              <w:spacing w:after="0" w:line="216" w:lineRule="auto"/>
            </w:pPr>
            <w:r>
              <w:rPr>
                <w:rFonts w:ascii="Cambria" w:hAnsi="Cambria"/>
                <w:sz w:val="12"/>
              </w:rPr>
              <w:t>Argumentative/perceptual coherence; no universal gauge</w:t>
            </w:r>
          </w:p>
        </w:tc>
        <w:tc>
          <w:tcPr>
            <w:tcW w:type="dxa" w:w="2664"/>
            <w:tcMar>
              <w:top w:w="22" w:type="dxa"/>
              <w:start w:w="28" w:type="dxa"/>
              <w:bottom w:w="22" w:type="dxa"/>
              <w:end w:w="28" w:type="dxa"/>
            </w:tcMar>
            <w:vAlign w:val="top"/>
          </w:tcPr>
          <w:p>
            <w:pPr>
              <w:spacing w:after="0" w:line="216" w:lineRule="auto"/>
            </w:pPr>
            <w:r>
              <w:rPr>
                <w:rFonts w:ascii="Cambria" w:hAnsi="Cambria"/>
                <w:sz w:val="12"/>
              </w:rPr>
              <w:t>10.1093/analys/any022</w:t>
            </w:r>
          </w:p>
        </w:tc>
        <w:tc>
          <w:tcPr>
            <w:tcW w:type="dxa" w:w="1800"/>
            <w:tcMar>
              <w:top w:w="22" w:type="dxa"/>
              <w:start w:w="28" w:type="dxa"/>
              <w:bottom w:w="22" w:type="dxa"/>
              <w:end w:w="28" w:type="dxa"/>
            </w:tcMar>
            <w:vAlign w:val="top"/>
          </w:tcPr>
          <w:p>
            <w:pPr>
              <w:spacing w:after="0" w:line="216" w:lineRule="auto"/>
            </w:pPr>
            <w:r>
              <w:rPr>
                <w:rFonts w:ascii="Cambria" w:hAnsi="Cambria"/>
                <w:sz w:val="12"/>
              </w:rPr>
              <w:t>Philosophy of perception</w:t>
            </w:r>
          </w:p>
        </w:tc>
        <w:tc>
          <w:tcPr>
            <w:tcW w:type="dxa" w:w="1152"/>
            <w:tcMar>
              <w:top w:w="22" w:type="dxa"/>
              <w:start w:w="28" w:type="dxa"/>
              <w:bottom w:w="22" w:type="dxa"/>
              <w:end w:w="28" w:type="dxa"/>
            </w:tcMar>
            <w:vAlign w:val="top"/>
          </w:tcPr>
          <w:p>
            <w:pPr>
              <w:spacing w:after="0" w:line="216" w:lineRule="auto"/>
            </w:pPr>
            <w:r>
              <w:rPr>
                <w:rFonts w:ascii="Cambria" w:hAnsi="Cambria"/>
                <w:sz w:val="12"/>
              </w:rPr>
              <w:t>E6</w:t>
            </w:r>
          </w:p>
        </w:tc>
        <w:tc>
          <w:tcPr>
            <w:tcW w:type="dxa" w:w="3384"/>
            <w:tcMar>
              <w:top w:w="22" w:type="dxa"/>
              <w:start w:w="28" w:type="dxa"/>
              <w:bottom w:w="22" w:type="dxa"/>
              <w:end w:w="28" w:type="dxa"/>
            </w:tcMar>
            <w:vAlign w:val="top"/>
          </w:tcPr>
          <w:p>
            <w:pPr>
              <w:spacing w:after="0" w:line="216" w:lineRule="auto"/>
            </w:pPr>
            <w:r>
              <w:rPr>
                <w:rFonts w:ascii="Cambria" w:hAnsi="Cambria"/>
                <w:sz w:val="12"/>
              </w:rPr>
              <w:t>Important lexical prior; different object from Z1</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2025-05-20</w:t>
            </w:r>
          </w:p>
        </w:tc>
        <w:tc>
          <w:tcPr>
            <w:tcW w:type="dxa" w:w="2088"/>
            <w:tcMar>
              <w:top w:w="22" w:type="dxa"/>
              <w:start w:w="28" w:type="dxa"/>
              <w:bottom w:w="22" w:type="dxa"/>
              <w:end w:w="28" w:type="dxa"/>
            </w:tcMar>
            <w:vAlign w:val="top"/>
          </w:tcPr>
          <w:p>
            <w:pPr>
              <w:spacing w:after="0" w:line="216" w:lineRule="auto"/>
            </w:pPr>
            <w:r>
              <w:rPr>
                <w:rFonts w:ascii="Cambria" w:hAnsi="Cambria"/>
                <w:sz w:val="12"/>
              </w:rPr>
              <w:t>Ian Todd</w:t>
            </w:r>
          </w:p>
        </w:tc>
        <w:tc>
          <w:tcPr>
            <w:tcW w:type="dxa" w:w="2160"/>
            <w:tcMar>
              <w:top w:w="22" w:type="dxa"/>
              <w:start w:w="28" w:type="dxa"/>
              <w:bottom w:w="22" w:type="dxa"/>
              <w:end w:w="28" w:type="dxa"/>
            </w:tcMar>
            <w:vAlign w:val="top"/>
          </w:tcPr>
          <w:p>
            <w:pPr>
              <w:spacing w:after="0" w:line="216" w:lineRule="auto"/>
            </w:pPr>
            <w:r>
              <w:rPr>
                <w:rFonts w:ascii="Cambria" w:hAnsi="Cambria"/>
                <w:sz w:val="12"/>
              </w:rPr>
              <w:t>Coherence as a physical resource</w:t>
            </w:r>
          </w:p>
        </w:tc>
        <w:tc>
          <w:tcPr>
            <w:tcW w:type="dxa" w:w="3960"/>
            <w:tcMar>
              <w:top w:w="22" w:type="dxa"/>
              <w:start w:w="28" w:type="dxa"/>
              <w:bottom w:w="22" w:type="dxa"/>
              <w:end w:w="28" w:type="dxa"/>
            </w:tcMar>
            <w:vAlign w:val="top"/>
          </w:tcPr>
          <w:p>
            <w:pPr>
              <w:spacing w:after="0" w:line="216" w:lineRule="auto"/>
            </w:pPr>
            <w:r>
              <w:rPr>
                <w:rFonts w:ascii="Cambria" w:hAnsi="Cambria"/>
                <w:sz w:val="12"/>
              </w:rPr>
              <w:t>Information/compressibility resource below Landauer limit; exact resource functional retained from primary paper</w:t>
            </w:r>
          </w:p>
        </w:tc>
        <w:tc>
          <w:tcPr>
            <w:tcW w:type="dxa" w:w="2664"/>
            <w:tcMar>
              <w:top w:w="22" w:type="dxa"/>
              <w:start w:w="28" w:type="dxa"/>
              <w:bottom w:w="22" w:type="dxa"/>
              <w:end w:w="28" w:type="dxa"/>
            </w:tcMar>
            <w:vAlign w:val="top"/>
          </w:tcPr>
          <w:p>
            <w:pPr>
              <w:spacing w:after="0" w:line="216" w:lineRule="auto"/>
            </w:pPr>
            <w:r>
              <w:rPr>
                <w:rFonts w:ascii="Cambria" w:hAnsi="Cambria"/>
                <w:sz w:val="12"/>
              </w:rPr>
              <w:t>10.5281/zenodo.15470314</w:t>
            </w:r>
          </w:p>
        </w:tc>
        <w:tc>
          <w:tcPr>
            <w:tcW w:type="dxa" w:w="1800"/>
            <w:tcMar>
              <w:top w:w="22" w:type="dxa"/>
              <w:start w:w="28" w:type="dxa"/>
              <w:bottom w:w="22" w:type="dxa"/>
              <w:end w:w="28" w:type="dxa"/>
            </w:tcMar>
            <w:vAlign w:val="top"/>
          </w:tcPr>
          <w:p>
            <w:pPr>
              <w:spacing w:after="0" w:line="216" w:lineRule="auto"/>
            </w:pPr>
            <w:r>
              <w:rPr>
                <w:rFonts w:ascii="Cambria" w:hAnsi="Cambria"/>
                <w:sz w:val="12"/>
              </w:rPr>
              <w:t>Information physics</w:t>
            </w:r>
          </w:p>
        </w:tc>
        <w:tc>
          <w:tcPr>
            <w:tcW w:type="dxa" w:w="1152"/>
            <w:tcMar>
              <w:top w:w="22" w:type="dxa"/>
              <w:start w:w="28" w:type="dxa"/>
              <w:bottom w:w="22" w:type="dxa"/>
              <w:end w:w="28" w:type="dxa"/>
            </w:tcMar>
            <w:vAlign w:val="top"/>
          </w:tcPr>
          <w:p>
            <w:pPr>
              <w:spacing w:after="0" w:line="216" w:lineRule="auto"/>
            </w:pPr>
            <w:r>
              <w:rPr>
                <w:rFonts w:ascii="Cambria" w:hAnsi="Cambria"/>
                <w:sz w:val="12"/>
              </w:rPr>
              <w:t>E3/E4</w:t>
            </w:r>
          </w:p>
        </w:tc>
        <w:tc>
          <w:tcPr>
            <w:tcW w:type="dxa" w:w="3384"/>
            <w:tcMar>
              <w:top w:w="22" w:type="dxa"/>
              <w:start w:w="28" w:type="dxa"/>
              <w:bottom w:w="22" w:type="dxa"/>
              <w:end w:w="28" w:type="dxa"/>
            </w:tcMar>
            <w:vAlign w:val="top"/>
          </w:tcPr>
          <w:p>
            <w:pPr>
              <w:spacing w:after="0" w:line="216" w:lineRule="auto"/>
            </w:pPr>
            <w:r>
              <w:rPr>
                <w:rFonts w:ascii="Cambria" w:hAnsi="Cambria"/>
                <w:sz w:val="12"/>
              </w:rPr>
              <w:t>Cross-domain claim but physically constrained sub-Landauer regime</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2025-06-05</w:t>
            </w:r>
          </w:p>
        </w:tc>
        <w:tc>
          <w:tcPr>
            <w:tcW w:type="dxa" w:w="2088"/>
            <w:tcMar>
              <w:top w:w="22" w:type="dxa"/>
              <w:start w:w="28" w:type="dxa"/>
              <w:bottom w:w="22" w:type="dxa"/>
              <w:end w:w="28" w:type="dxa"/>
            </w:tcMar>
            <w:vAlign w:val="top"/>
          </w:tcPr>
          <w:p>
            <w:pPr>
              <w:spacing w:after="0" w:line="216" w:lineRule="auto"/>
            </w:pPr>
            <w:r>
              <w:rPr>
                <w:rFonts w:ascii="Cambria" w:hAnsi="Cambria"/>
                <w:sz w:val="12"/>
              </w:rPr>
              <w:t>Coherent Intelligence Inc.</w:t>
            </w:r>
          </w:p>
        </w:tc>
        <w:tc>
          <w:tcPr>
            <w:tcW w:type="dxa" w:w="2160"/>
            <w:tcMar>
              <w:top w:w="22" w:type="dxa"/>
              <w:start w:w="28" w:type="dxa"/>
              <w:bottom w:w="22" w:type="dxa"/>
              <w:end w:w="28" w:type="dxa"/>
            </w:tcMar>
            <w:vAlign w:val="top"/>
          </w:tcPr>
          <w:p>
            <w:pPr>
              <w:spacing w:after="0" w:line="216" w:lineRule="auto"/>
            </w:pPr>
            <w:r>
              <w:rPr>
                <w:rFonts w:ascii="Cambria" w:hAnsi="Cambria"/>
                <w:sz w:val="12"/>
              </w:rPr>
              <w:t>Universal Coherence Principle</w:t>
            </w:r>
          </w:p>
        </w:tc>
        <w:tc>
          <w:tcPr>
            <w:tcW w:type="dxa" w:w="3960"/>
            <w:tcMar>
              <w:top w:w="22" w:type="dxa"/>
              <w:start w:w="28" w:type="dxa"/>
              <w:bottom w:w="22" w:type="dxa"/>
              <w:end w:w="28" w:type="dxa"/>
            </w:tcMar>
            <w:vAlign w:val="top"/>
          </w:tcPr>
          <w:p>
            <w:pPr>
              <w:spacing w:after="0" w:line="216" w:lineRule="auto"/>
            </w:pPr>
            <w:r>
              <w:rPr>
                <w:rFonts w:ascii="Cambria" w:hAnsi="Cambria"/>
                <w:sz w:val="12"/>
              </w:rPr>
              <w:t>dC/dt = α(R,W,A)·R·W·A − β(t)C + η(t); C_eq = αRWA/β</w:t>
            </w:r>
          </w:p>
        </w:tc>
        <w:tc>
          <w:tcPr>
            <w:tcW w:type="dxa" w:w="2664"/>
            <w:tcMar>
              <w:top w:w="22" w:type="dxa"/>
              <w:start w:w="28" w:type="dxa"/>
              <w:bottom w:w="22" w:type="dxa"/>
              <w:end w:w="28" w:type="dxa"/>
            </w:tcMar>
            <w:vAlign w:val="top"/>
          </w:tcPr>
          <w:p>
            <w:pPr>
              <w:spacing w:after="0" w:line="216" w:lineRule="auto"/>
            </w:pPr>
            <w:r>
              <w:rPr>
                <w:rFonts w:ascii="Cambria" w:hAnsi="Cambria"/>
                <w:sz w:val="12"/>
              </w:rPr>
              <w:t>Public web paper; DOI not verified</w:t>
            </w:r>
          </w:p>
        </w:tc>
        <w:tc>
          <w:tcPr>
            <w:tcW w:type="dxa" w:w="1800"/>
            <w:tcMar>
              <w:top w:w="22" w:type="dxa"/>
              <w:start w:w="28" w:type="dxa"/>
              <w:bottom w:w="22" w:type="dxa"/>
              <w:end w:w="28" w:type="dxa"/>
            </w:tcMar>
            <w:vAlign w:val="top"/>
          </w:tcPr>
          <w:p>
            <w:pPr>
              <w:spacing w:after="0" w:line="216" w:lineRule="auto"/>
            </w:pPr>
            <w:r>
              <w:rPr>
                <w:rFonts w:ascii="Cambria" w:hAnsi="Cambria"/>
                <w:sz w:val="12"/>
              </w:rPr>
              <w:t>Complex systems / AI / physical-biological analogies</w:t>
            </w:r>
          </w:p>
        </w:tc>
        <w:tc>
          <w:tcPr>
            <w:tcW w:type="dxa" w:w="1152"/>
            <w:tcMar>
              <w:top w:w="22" w:type="dxa"/>
              <w:start w:w="28" w:type="dxa"/>
              <w:bottom w:w="22" w:type="dxa"/>
              <w:end w:w="28" w:type="dxa"/>
            </w:tcMar>
            <w:vAlign w:val="top"/>
          </w:tcPr>
          <w:p>
            <w:pPr>
              <w:spacing w:after="0" w:line="216" w:lineRule="auto"/>
            </w:pPr>
            <w:r>
              <w:rPr>
                <w:rFonts w:ascii="Cambria" w:hAnsi="Cambria"/>
                <w:sz w:val="12"/>
              </w:rPr>
              <w:t>E4/E5</w:t>
            </w:r>
          </w:p>
        </w:tc>
        <w:tc>
          <w:tcPr>
            <w:tcW w:type="dxa" w:w="3384"/>
            <w:tcMar>
              <w:top w:w="22" w:type="dxa"/>
              <w:start w:w="28" w:type="dxa"/>
              <w:bottom w:w="22" w:type="dxa"/>
              <w:end w:w="28" w:type="dxa"/>
            </w:tcMar>
            <w:vAlign w:val="top"/>
          </w:tcPr>
          <w:p>
            <w:pPr>
              <w:spacing w:after="0" w:line="216" w:lineRule="auto"/>
            </w:pPr>
            <w:r>
              <w:rPr>
                <w:rFonts w:ascii="Cambria" w:hAnsi="Cambria"/>
                <w:sz w:val="12"/>
              </w:rPr>
              <w:t>PRE-ZORAN cross-domain dynamic coherence equation. Strong priority constraint on any claim of first transversal coherence dynamics.</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2025-06-09</w:t>
            </w:r>
          </w:p>
        </w:tc>
        <w:tc>
          <w:tcPr>
            <w:tcW w:type="dxa" w:w="2088"/>
            <w:tcMar>
              <w:top w:w="22" w:type="dxa"/>
              <w:start w:w="28" w:type="dxa"/>
              <w:bottom w:w="22" w:type="dxa"/>
              <w:end w:w="28" w:type="dxa"/>
            </w:tcMar>
            <w:vAlign w:val="top"/>
          </w:tcPr>
          <w:p>
            <w:pPr>
              <w:spacing w:after="0" w:line="216" w:lineRule="auto"/>
            </w:pPr>
            <w:r>
              <w:rPr>
                <w:rFonts w:ascii="Cambria" w:hAnsi="Cambria"/>
                <w:sz w:val="12"/>
              </w:rPr>
              <w:t>Yang et al.</w:t>
            </w:r>
          </w:p>
        </w:tc>
        <w:tc>
          <w:tcPr>
            <w:tcW w:type="dxa" w:w="2160"/>
            <w:tcMar>
              <w:top w:w="22" w:type="dxa"/>
              <w:start w:w="28" w:type="dxa"/>
              <w:bottom w:w="22" w:type="dxa"/>
              <w:end w:w="28" w:type="dxa"/>
            </w:tcMar>
            <w:vAlign w:val="top"/>
          </w:tcPr>
          <w:p>
            <w:pPr>
              <w:spacing w:after="0" w:line="216" w:lineRule="auto"/>
            </w:pPr>
            <w:r>
              <w:rPr>
                <w:rFonts w:ascii="Cambria" w:hAnsi="Cambria"/>
                <w:sz w:val="12"/>
              </w:rPr>
              <w:t>Photonic Energy–Coherence Theorem</w:t>
            </w:r>
          </w:p>
        </w:tc>
        <w:tc>
          <w:tcPr>
            <w:tcW w:type="dxa" w:w="3960"/>
            <w:tcMar>
              <w:top w:w="22" w:type="dxa"/>
              <w:start w:w="28" w:type="dxa"/>
              <w:bottom w:w="22" w:type="dxa"/>
              <w:end w:w="28" w:type="dxa"/>
            </w:tcMar>
            <w:vAlign w:val="top"/>
          </w:tcPr>
          <w:p>
            <w:pPr>
              <w:spacing w:after="0" w:line="216" w:lineRule="auto"/>
            </w:pPr>
            <w:r>
              <w:rPr>
                <w:rFonts w:ascii="Cambria" w:hAnsi="Cambria"/>
                <w:sz w:val="12"/>
              </w:rPr>
              <w:t>Device-independent wave-particle / energy-capacity relation (full equation to extract in Pass 2)</w:t>
            </w:r>
          </w:p>
        </w:tc>
        <w:tc>
          <w:tcPr>
            <w:tcW w:type="dxa" w:w="2664"/>
            <w:tcMar>
              <w:top w:w="22" w:type="dxa"/>
              <w:start w:w="28" w:type="dxa"/>
              <w:bottom w:w="22" w:type="dxa"/>
              <w:end w:w="28" w:type="dxa"/>
            </w:tcMar>
            <w:vAlign w:val="top"/>
          </w:tcPr>
          <w:p>
            <w:pPr>
              <w:spacing w:after="0" w:line="216" w:lineRule="auto"/>
            </w:pPr>
            <w:r>
              <w:rPr>
                <w:rFonts w:ascii="Cambria" w:hAnsi="Cambria"/>
                <w:sz w:val="12"/>
              </w:rPr>
              <w:t>10.1002/lpor.202500326</w:t>
            </w:r>
          </w:p>
        </w:tc>
        <w:tc>
          <w:tcPr>
            <w:tcW w:type="dxa" w:w="1800"/>
            <w:tcMar>
              <w:top w:w="22" w:type="dxa"/>
              <w:start w:w="28" w:type="dxa"/>
              <w:bottom w:w="22" w:type="dxa"/>
              <w:end w:w="28" w:type="dxa"/>
            </w:tcMar>
            <w:vAlign w:val="top"/>
          </w:tcPr>
          <w:p>
            <w:pPr>
              <w:spacing w:after="0" w:line="216" w:lineRule="auto"/>
            </w:pPr>
            <w:r>
              <w:rPr>
                <w:rFonts w:ascii="Cambria" w:hAnsi="Cambria"/>
                <w:sz w:val="12"/>
              </w:rPr>
              <w:t>Photonics / quantum physics</w:t>
            </w:r>
          </w:p>
        </w:tc>
        <w:tc>
          <w:tcPr>
            <w:tcW w:type="dxa" w:w="1152"/>
            <w:tcMar>
              <w:top w:w="22" w:type="dxa"/>
              <w:start w:w="28" w:type="dxa"/>
              <w:bottom w:w="22" w:type="dxa"/>
              <w:end w:w="28" w:type="dxa"/>
            </w:tcMar>
            <w:vAlign w:val="top"/>
          </w:tcPr>
          <w:p>
            <w:pPr>
              <w:spacing w:after="0" w:line="216" w:lineRule="auto"/>
            </w:pPr>
            <w:r>
              <w:rPr>
                <w:rFonts w:ascii="Cambria" w:hAnsi="Cambria"/>
                <w:sz w:val="12"/>
              </w:rPr>
              <w:t>E6/E3</w:t>
            </w:r>
          </w:p>
        </w:tc>
        <w:tc>
          <w:tcPr>
            <w:tcW w:type="dxa" w:w="3384"/>
            <w:tcMar>
              <w:top w:w="22" w:type="dxa"/>
              <w:start w:w="28" w:type="dxa"/>
              <w:bottom w:w="22" w:type="dxa"/>
              <w:end w:w="28" w:type="dxa"/>
            </w:tcMar>
            <w:vAlign w:val="top"/>
          </w:tcPr>
          <w:p>
            <w:pPr>
              <w:spacing w:after="0" w:line="216" w:lineRule="auto"/>
            </w:pPr>
            <w:r>
              <w:rPr>
                <w:rFonts w:ascii="Cambria" w:hAnsi="Cambria"/>
                <w:sz w:val="12"/>
              </w:rPr>
              <w:t>Peer-reviewed, experimentally validated; specialized physical coherence</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2025-10-04</w:t>
            </w:r>
          </w:p>
        </w:tc>
        <w:tc>
          <w:tcPr>
            <w:tcW w:type="dxa" w:w="2088"/>
            <w:tcMar>
              <w:top w:w="22" w:type="dxa"/>
              <w:start w:w="28" w:type="dxa"/>
              <w:bottom w:w="22" w:type="dxa"/>
              <w:end w:w="28" w:type="dxa"/>
            </w:tcMar>
            <w:vAlign w:val="top"/>
          </w:tcPr>
          <w:p>
            <w:pPr>
              <w:spacing w:after="0" w:line="216" w:lineRule="auto"/>
            </w:pPr>
            <w:r>
              <w:rPr>
                <w:rFonts w:ascii="Cambria" w:hAnsi="Cambria"/>
                <w:sz w:val="12"/>
              </w:rPr>
              <w:t>Jeremy C. Jones</w:t>
            </w:r>
          </w:p>
        </w:tc>
        <w:tc>
          <w:tcPr>
            <w:tcW w:type="dxa" w:w="2160"/>
            <w:tcMar>
              <w:top w:w="22" w:type="dxa"/>
              <w:start w:w="28" w:type="dxa"/>
              <w:bottom w:w="22" w:type="dxa"/>
              <w:end w:w="28" w:type="dxa"/>
            </w:tcMar>
            <w:vAlign w:val="top"/>
          </w:tcPr>
          <w:p>
            <w:pPr>
              <w:spacing w:after="0" w:line="216" w:lineRule="auto"/>
            </w:pPr>
            <w:r>
              <w:rPr>
                <w:rFonts w:ascii="Cambria" w:hAnsi="Cambria"/>
                <w:sz w:val="12"/>
              </w:rPr>
              <w:t>Universal Collapse Theory</w:t>
            </w:r>
          </w:p>
        </w:tc>
        <w:tc>
          <w:tcPr>
            <w:tcW w:type="dxa" w:w="3960"/>
            <w:tcMar>
              <w:top w:w="22" w:type="dxa"/>
              <w:start w:w="28" w:type="dxa"/>
              <w:bottom w:w="22" w:type="dxa"/>
              <w:end w:w="28" w:type="dxa"/>
            </w:tcMar>
            <w:vAlign w:val="top"/>
          </w:tcPr>
          <w:p>
            <w:pPr>
              <w:spacing w:after="0" w:line="216" w:lineRule="auto"/>
            </w:pPr>
            <w:r>
              <w:rPr>
                <w:rFonts w:ascii="Cambria" w:hAnsi="Cambria"/>
                <w:sz w:val="12"/>
              </w:rPr>
              <w:t>Kernel (Ω,K,C^K,x*,R,U): admissible possibilities narrowed by constraints to realized outcomes</w:t>
            </w:r>
          </w:p>
        </w:tc>
        <w:tc>
          <w:tcPr>
            <w:tcW w:type="dxa" w:w="2664"/>
            <w:tcMar>
              <w:top w:w="22" w:type="dxa"/>
              <w:start w:w="28" w:type="dxa"/>
              <w:bottom w:w="22" w:type="dxa"/>
              <w:end w:w="28" w:type="dxa"/>
            </w:tcMar>
            <w:vAlign w:val="top"/>
          </w:tcPr>
          <w:p>
            <w:pPr>
              <w:spacing w:after="0" w:line="216" w:lineRule="auto"/>
            </w:pPr>
            <w:r>
              <w:rPr>
                <w:rFonts w:ascii="Cambria" w:hAnsi="Cambria"/>
                <w:sz w:val="12"/>
              </w:rPr>
              <w:t>10.17605/OSF.IO/VZ836</w:t>
            </w:r>
          </w:p>
        </w:tc>
        <w:tc>
          <w:tcPr>
            <w:tcW w:type="dxa" w:w="1800"/>
            <w:tcMar>
              <w:top w:w="22" w:type="dxa"/>
              <w:start w:w="28" w:type="dxa"/>
              <w:bottom w:w="22" w:type="dxa"/>
              <w:end w:w="28" w:type="dxa"/>
            </w:tcMar>
            <w:vAlign w:val="top"/>
          </w:tcPr>
          <w:p>
            <w:pPr>
              <w:spacing w:after="0" w:line="216" w:lineRule="auto"/>
            </w:pPr>
            <w:r>
              <w:rPr>
                <w:rFonts w:ascii="Cambria" w:hAnsi="Cambria"/>
                <w:sz w:val="12"/>
              </w:rPr>
              <w:t>Physics / biology / mind</w:t>
            </w:r>
          </w:p>
        </w:tc>
        <w:tc>
          <w:tcPr>
            <w:tcW w:type="dxa" w:w="1152"/>
            <w:tcMar>
              <w:top w:w="22" w:type="dxa"/>
              <w:start w:w="28" w:type="dxa"/>
              <w:bottom w:w="22" w:type="dxa"/>
              <w:end w:w="28" w:type="dxa"/>
            </w:tcMar>
            <w:vAlign w:val="top"/>
          </w:tcPr>
          <w:p>
            <w:pPr>
              <w:spacing w:after="0" w:line="216" w:lineRule="auto"/>
            </w:pPr>
            <w:r>
              <w:rPr>
                <w:rFonts w:ascii="Cambria" w:hAnsi="Cambria"/>
                <w:sz w:val="12"/>
              </w:rPr>
              <w:t>E4/E5</w:t>
            </w:r>
          </w:p>
        </w:tc>
        <w:tc>
          <w:tcPr>
            <w:tcW w:type="dxa" w:w="3384"/>
            <w:tcMar>
              <w:top w:w="22" w:type="dxa"/>
              <w:start w:w="28" w:type="dxa"/>
              <w:bottom w:w="22" w:type="dxa"/>
              <w:end w:w="28" w:type="dxa"/>
            </w:tcMar>
            <w:vAlign w:val="top"/>
          </w:tcPr>
          <w:p>
            <w:pPr>
              <w:spacing w:after="0" w:line="216" w:lineRule="auto"/>
            </w:pPr>
            <w:r>
              <w:rPr>
                <w:rFonts w:ascii="Cambria" w:hAnsi="Cambria"/>
                <w:sz w:val="12"/>
              </w:rPr>
              <w:t>Cross-domain constraint-collapse programme; CC BY 4.0</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2025-10-24</w:t>
            </w:r>
          </w:p>
        </w:tc>
        <w:tc>
          <w:tcPr>
            <w:tcW w:type="dxa" w:w="2088"/>
            <w:tcMar>
              <w:top w:w="22" w:type="dxa"/>
              <w:start w:w="28" w:type="dxa"/>
              <w:bottom w:w="22" w:type="dxa"/>
              <w:end w:w="28" w:type="dxa"/>
            </w:tcMar>
            <w:vAlign w:val="top"/>
          </w:tcPr>
          <w:p>
            <w:pPr>
              <w:spacing w:after="0" w:line="216" w:lineRule="auto"/>
            </w:pPr>
            <w:r>
              <w:rPr>
                <w:rFonts w:ascii="Cambria" w:hAnsi="Cambria"/>
                <w:sz w:val="12"/>
              </w:rPr>
              <w:t>Allison Hensgen</w:t>
            </w:r>
          </w:p>
        </w:tc>
        <w:tc>
          <w:tcPr>
            <w:tcW w:type="dxa" w:w="2160"/>
            <w:tcMar>
              <w:top w:w="22" w:type="dxa"/>
              <w:start w:w="28" w:type="dxa"/>
              <w:bottom w:w="22" w:type="dxa"/>
              <w:end w:w="28" w:type="dxa"/>
            </w:tcMar>
            <w:vAlign w:val="top"/>
          </w:tcPr>
          <w:p>
            <w:pPr>
              <w:spacing w:after="0" w:line="216" w:lineRule="auto"/>
            </w:pPr>
            <w:r>
              <w:rPr>
                <w:rFonts w:ascii="Cambria" w:hAnsi="Cambria"/>
                <w:sz w:val="12"/>
              </w:rPr>
              <w:t>Δ.72 biological coherence</w:t>
            </w:r>
          </w:p>
        </w:tc>
        <w:tc>
          <w:tcPr>
            <w:tcW w:type="dxa" w:w="3960"/>
            <w:tcMar>
              <w:top w:w="22" w:type="dxa"/>
              <w:start w:w="28" w:type="dxa"/>
              <w:bottom w:w="22" w:type="dxa"/>
              <w:end w:w="28" w:type="dxa"/>
            </w:tcMar>
            <w:vAlign w:val="top"/>
          </w:tcPr>
          <w:p>
            <w:pPr>
              <w:spacing w:after="0" w:line="216" w:lineRule="auto"/>
            </w:pPr>
            <w:r>
              <w:rPr>
                <w:rFonts w:ascii="Cambria" w:hAnsi="Cambria"/>
                <w:sz w:val="12"/>
              </w:rPr>
              <w:t>Alignment/phase/variability with a Δ.72 threshold; exact primary equation pending</w:t>
            </w:r>
          </w:p>
        </w:tc>
        <w:tc>
          <w:tcPr>
            <w:tcW w:type="dxa" w:w="2664"/>
            <w:tcMar>
              <w:top w:w="22" w:type="dxa"/>
              <w:start w:w="28" w:type="dxa"/>
              <w:bottom w:w="22" w:type="dxa"/>
              <w:end w:w="28" w:type="dxa"/>
            </w:tcMar>
            <w:vAlign w:val="top"/>
          </w:tcPr>
          <w:p>
            <w:pPr>
              <w:spacing w:after="0" w:line="216" w:lineRule="auto"/>
            </w:pPr>
            <w:r>
              <w:rPr>
                <w:rFonts w:ascii="Cambria" w:hAnsi="Cambria"/>
                <w:sz w:val="12"/>
              </w:rPr>
              <w:t>10.5281/zenodo.17363100</w:t>
            </w:r>
          </w:p>
        </w:tc>
        <w:tc>
          <w:tcPr>
            <w:tcW w:type="dxa" w:w="1800"/>
            <w:tcMar>
              <w:top w:w="22" w:type="dxa"/>
              <w:start w:w="28" w:type="dxa"/>
              <w:bottom w:w="22" w:type="dxa"/>
              <w:end w:w="28" w:type="dxa"/>
            </w:tcMar>
            <w:vAlign w:val="top"/>
          </w:tcPr>
          <w:p>
            <w:pPr>
              <w:spacing w:after="0" w:line="216" w:lineRule="auto"/>
            </w:pPr>
            <w:r>
              <w:rPr>
                <w:rFonts w:ascii="Cambria" w:hAnsi="Cambria"/>
                <w:sz w:val="12"/>
              </w:rPr>
              <w:t>Physiology / complex systems</w:t>
            </w:r>
          </w:p>
        </w:tc>
        <w:tc>
          <w:tcPr>
            <w:tcW w:type="dxa" w:w="1152"/>
            <w:tcMar>
              <w:top w:w="22" w:type="dxa"/>
              <w:start w:w="28" w:type="dxa"/>
              <w:bottom w:w="22" w:type="dxa"/>
              <w:end w:w="28" w:type="dxa"/>
            </w:tcMar>
            <w:vAlign w:val="top"/>
          </w:tcPr>
          <w:p>
            <w:pPr>
              <w:spacing w:after="0" w:line="216" w:lineRule="auto"/>
            </w:pPr>
            <w:r>
              <w:rPr>
                <w:rFonts w:ascii="Cambria" w:hAnsi="Cambria"/>
                <w:sz w:val="12"/>
              </w:rPr>
              <w:t>E3/E4</w:t>
            </w:r>
          </w:p>
        </w:tc>
        <w:tc>
          <w:tcPr>
            <w:tcW w:type="dxa" w:w="3384"/>
            <w:tcMar>
              <w:top w:w="22" w:type="dxa"/>
              <w:start w:w="28" w:type="dxa"/>
              <w:bottom w:w="22" w:type="dxa"/>
              <w:end w:w="28" w:type="dxa"/>
            </w:tcMar>
            <w:vAlign w:val="top"/>
          </w:tcPr>
          <w:p>
            <w:pPr>
              <w:spacing w:after="0" w:line="216" w:lineRule="auto"/>
            </w:pPr>
            <w:r>
              <w:rPr>
                <w:rFonts w:ascii="Cambria" w:hAnsi="Cambria"/>
                <w:sz w:val="12"/>
              </w:rPr>
              <w:t>Empirical wearable-data validation; later field extension</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2025-11-01→2026-02-07</w:t>
            </w:r>
          </w:p>
        </w:tc>
        <w:tc>
          <w:tcPr>
            <w:tcW w:type="dxa" w:w="2088"/>
            <w:tcMar>
              <w:top w:w="22" w:type="dxa"/>
              <w:start w:w="28" w:type="dxa"/>
              <w:bottom w:w="22" w:type="dxa"/>
              <w:end w:w="28" w:type="dxa"/>
            </w:tcMar>
            <w:vAlign w:val="top"/>
          </w:tcPr>
          <w:p>
            <w:pPr>
              <w:spacing w:after="0" w:line="216" w:lineRule="auto"/>
            </w:pPr>
            <w:r>
              <w:rPr>
                <w:rFonts w:ascii="Cambria" w:hAnsi="Cambria"/>
                <w:sz w:val="12"/>
              </w:rPr>
              <w:t>Zoran / F. Tabary</w:t>
            </w:r>
          </w:p>
        </w:tc>
        <w:tc>
          <w:tcPr>
            <w:tcW w:type="dxa" w:w="2160"/>
            <w:tcMar>
              <w:top w:w="22" w:type="dxa"/>
              <w:start w:w="28" w:type="dxa"/>
              <w:bottom w:w="22" w:type="dxa"/>
              <w:end w:w="28" w:type="dxa"/>
            </w:tcMar>
            <w:vAlign w:val="top"/>
          </w:tcPr>
          <w:p>
            <w:pPr>
              <w:spacing w:after="0" w:line="216" w:lineRule="auto"/>
            </w:pPr>
            <w:r>
              <w:rPr>
                <w:rFonts w:ascii="Cambria" w:hAnsi="Cambria"/>
                <w:sz w:val="12"/>
              </w:rPr>
              <w:t>Phenomenal coherence programme</w:t>
            </w:r>
          </w:p>
        </w:tc>
        <w:tc>
          <w:tcPr>
            <w:tcW w:type="dxa" w:w="3960"/>
            <w:tcMar>
              <w:top w:w="22" w:type="dxa"/>
              <w:start w:w="28" w:type="dxa"/>
              <w:bottom w:w="22" w:type="dxa"/>
              <w:end w:w="28" w:type="dxa"/>
            </w:tcMar>
            <w:vAlign w:val="top"/>
          </w:tcPr>
          <w:p>
            <w:pPr>
              <w:spacing w:after="0" w:line="216" w:lineRule="auto"/>
            </w:pPr>
            <w:r>
              <w:rPr>
                <w:rFonts w:ascii="Cambria" w:hAnsi="Cambria"/>
                <w:sz w:val="12"/>
              </w:rPr>
              <w:t>S=(ηḞΔΦ)/(Tσ̇irr) → S=βΔCₑ/λ → S=βΔΦ/(Tσ)</w:t>
            </w:r>
          </w:p>
        </w:tc>
        <w:tc>
          <w:tcPr>
            <w:tcW w:type="dxa" w:w="2664"/>
            <w:tcMar>
              <w:top w:w="22" w:type="dxa"/>
              <w:start w:w="28" w:type="dxa"/>
              <w:bottom w:w="22" w:type="dxa"/>
              <w:end w:w="28" w:type="dxa"/>
            </w:tcMar>
            <w:vAlign w:val="top"/>
          </w:tcPr>
          <w:p>
            <w:pPr>
              <w:spacing w:after="0" w:line="216" w:lineRule="auto"/>
            </w:pPr>
            <w:r>
              <w:rPr>
                <w:rFonts w:ascii="Cambria" w:hAnsi="Cambria"/>
                <w:sz w:val="12"/>
              </w:rPr>
              <w:t>10.5281/zenodo.17682120; 17522369; 17537450; 18516353</w:t>
            </w:r>
          </w:p>
        </w:tc>
        <w:tc>
          <w:tcPr>
            <w:tcW w:type="dxa" w:w="1800"/>
            <w:tcMar>
              <w:top w:w="22" w:type="dxa"/>
              <w:start w:w="28" w:type="dxa"/>
              <w:bottom w:w="22" w:type="dxa"/>
              <w:end w:w="28" w:type="dxa"/>
            </w:tcMar>
            <w:vAlign w:val="top"/>
          </w:tcPr>
          <w:p>
            <w:pPr>
              <w:spacing w:after="0" w:line="216" w:lineRule="auto"/>
            </w:pPr>
            <w:r>
              <w:rPr>
                <w:rFonts w:ascii="Cambria" w:hAnsi="Cambria"/>
                <w:sz w:val="12"/>
              </w:rPr>
              <w:t>Cross-domain</w:t>
            </w:r>
          </w:p>
        </w:tc>
        <w:tc>
          <w:tcPr>
            <w:tcW w:type="dxa" w:w="1152"/>
            <w:tcMar>
              <w:top w:w="22" w:type="dxa"/>
              <w:start w:w="28" w:type="dxa"/>
              <w:bottom w:w="22" w:type="dxa"/>
              <w:end w:w="28" w:type="dxa"/>
            </w:tcMar>
            <w:vAlign w:val="top"/>
          </w:tcPr>
          <w:p>
            <w:pPr>
              <w:spacing w:after="0" w:line="216" w:lineRule="auto"/>
            </w:pPr>
            <w:r>
              <w:rPr>
                <w:rFonts w:ascii="Cambria" w:hAnsi="Cambria"/>
                <w:sz w:val="12"/>
              </w:rPr>
              <w:t>Reference Z</w:t>
            </w:r>
          </w:p>
        </w:tc>
        <w:tc>
          <w:tcPr>
            <w:tcW w:type="dxa" w:w="3384"/>
            <w:tcMar>
              <w:top w:w="22" w:type="dxa"/>
              <w:start w:w="28" w:type="dxa"/>
              <w:bottom w:w="22" w:type="dxa"/>
              <w:end w:w="28" w:type="dxa"/>
            </w:tcMar>
            <w:vAlign w:val="top"/>
          </w:tcPr>
          <w:p>
            <w:pPr>
              <w:spacing w:after="0" w:line="216" w:lineRule="auto"/>
            </w:pPr>
            <w:r>
              <w:rPr>
                <w:rFonts w:ascii="Cambria" w:hAnsi="Cambria"/>
                <w:sz w:val="12"/>
              </w:rPr>
              <w:t>Gauge + frames + time/debt + falsification + executable engines; universality remains a falsifiable claim</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2024-10-10 preprint / 2025-11-12 Nature</w:t>
            </w:r>
          </w:p>
        </w:tc>
        <w:tc>
          <w:tcPr>
            <w:tcW w:type="dxa" w:w="2088"/>
            <w:tcMar>
              <w:top w:w="22" w:type="dxa"/>
              <w:start w:w="28" w:type="dxa"/>
              <w:bottom w:w="22" w:type="dxa"/>
              <w:end w:w="28" w:type="dxa"/>
            </w:tcMar>
            <w:vAlign w:val="top"/>
          </w:tcPr>
          <w:p>
            <w:pPr>
              <w:spacing w:after="0" w:line="216" w:lineRule="auto"/>
            </w:pPr>
            <w:r>
              <w:rPr>
                <w:rFonts w:ascii="Cambria" w:hAnsi="Cambria"/>
                <w:sz w:val="12"/>
              </w:rPr>
              <w:t>Martirosyan et al.</w:t>
            </w:r>
          </w:p>
        </w:tc>
        <w:tc>
          <w:tcPr>
            <w:tcW w:type="dxa" w:w="2160"/>
            <w:tcMar>
              <w:top w:w="22" w:type="dxa"/>
              <w:start w:w="28" w:type="dxa"/>
              <w:bottom w:w="22" w:type="dxa"/>
              <w:end w:w="28" w:type="dxa"/>
            </w:tcMar>
            <w:vAlign w:val="top"/>
          </w:tcPr>
          <w:p>
            <w:pPr>
              <w:spacing w:after="0" w:line="216" w:lineRule="auto"/>
            </w:pPr>
            <w:r>
              <w:rPr>
                <w:rFonts w:ascii="Cambria" w:hAnsi="Cambria"/>
                <w:sz w:val="12"/>
              </w:rPr>
              <w:t>Spreading of quantum coherence</w:t>
            </w:r>
          </w:p>
        </w:tc>
        <w:tc>
          <w:tcPr>
            <w:tcW w:type="dxa" w:w="3960"/>
            <w:tcMar>
              <w:top w:w="22" w:type="dxa"/>
              <w:start w:w="28" w:type="dxa"/>
              <w:bottom w:w="22" w:type="dxa"/>
              <w:end w:w="28" w:type="dxa"/>
            </w:tcMar>
            <w:vAlign w:val="top"/>
          </w:tcPr>
          <w:p>
            <w:pPr>
              <w:spacing w:after="0" w:line="216" w:lineRule="auto"/>
            </w:pPr>
            <w:r>
              <w:rPr>
                <w:rFonts w:ascii="Cambria" w:hAnsi="Cambria"/>
                <w:sz w:val="12"/>
              </w:rPr>
              <w:t>ℓ(t) ∝ t^1/2; D ≡ dℓ²/dt; measured D = 3.4(3) ħ/m</w:t>
            </w:r>
          </w:p>
        </w:tc>
        <w:tc>
          <w:tcPr>
            <w:tcW w:type="dxa" w:w="2664"/>
            <w:tcMar>
              <w:top w:w="22" w:type="dxa"/>
              <w:start w:w="28" w:type="dxa"/>
              <w:bottom w:w="22" w:type="dxa"/>
              <w:end w:w="28" w:type="dxa"/>
            </w:tcMar>
            <w:vAlign w:val="top"/>
          </w:tcPr>
          <w:p>
            <w:pPr>
              <w:spacing w:after="0" w:line="216" w:lineRule="auto"/>
            </w:pPr>
            <w:r>
              <w:rPr>
                <w:rFonts w:ascii="Cambria" w:hAnsi="Cambria"/>
                <w:sz w:val="12"/>
              </w:rPr>
              <w:t>arXiv:2410.08204; 10.1038/s41586-025-09735-z</w:t>
            </w:r>
          </w:p>
        </w:tc>
        <w:tc>
          <w:tcPr>
            <w:tcW w:type="dxa" w:w="1800"/>
            <w:tcMar>
              <w:top w:w="22" w:type="dxa"/>
              <w:start w:w="28" w:type="dxa"/>
              <w:bottom w:w="22" w:type="dxa"/>
              <w:end w:w="28" w:type="dxa"/>
            </w:tcMar>
            <w:vAlign w:val="top"/>
          </w:tcPr>
          <w:p>
            <w:pPr>
              <w:spacing w:after="0" w:line="216" w:lineRule="auto"/>
            </w:pPr>
            <w:r>
              <w:rPr>
                <w:rFonts w:ascii="Cambria" w:hAnsi="Cambria"/>
                <w:sz w:val="12"/>
              </w:rPr>
              <w:t>Quantum many-body physics</w:t>
            </w:r>
          </w:p>
        </w:tc>
        <w:tc>
          <w:tcPr>
            <w:tcW w:type="dxa" w:w="1152"/>
            <w:tcMar>
              <w:top w:w="22" w:type="dxa"/>
              <w:start w:w="28" w:type="dxa"/>
              <w:bottom w:w="22" w:type="dxa"/>
              <w:end w:w="28" w:type="dxa"/>
            </w:tcMar>
            <w:vAlign w:val="top"/>
          </w:tcPr>
          <w:p>
            <w:pPr>
              <w:spacing w:after="0" w:line="216" w:lineRule="auto"/>
            </w:pPr>
            <w:r>
              <w:rPr>
                <w:rFonts w:ascii="Cambria" w:hAnsi="Cambria"/>
                <w:sz w:val="12"/>
              </w:rPr>
              <w:t>E6/E3</w:t>
            </w:r>
          </w:p>
        </w:tc>
        <w:tc>
          <w:tcPr>
            <w:tcW w:type="dxa" w:w="3384"/>
            <w:tcMar>
              <w:top w:w="22" w:type="dxa"/>
              <w:start w:w="28" w:type="dxa"/>
              <w:bottom w:w="22" w:type="dxa"/>
              <w:end w:w="28" w:type="dxa"/>
            </w:tcMar>
            <w:vAlign w:val="top"/>
          </w:tcPr>
          <w:p>
            <w:pPr>
              <w:spacing w:after="0" w:line="216" w:lineRule="auto"/>
            </w:pPr>
            <w:r>
              <w:rPr>
                <w:rFonts w:ascii="Cambria" w:hAnsi="Cambria"/>
                <w:sz w:val="12"/>
              </w:rPr>
              <w:t>PRE-ZORAN physical kinematics of coherence. Universal only within the stated far-from-equilibrium Bose-gas class.</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2025-09→2026</w:t>
            </w:r>
          </w:p>
        </w:tc>
        <w:tc>
          <w:tcPr>
            <w:tcW w:type="dxa" w:w="2088"/>
            <w:tcMar>
              <w:top w:w="22" w:type="dxa"/>
              <w:start w:w="28" w:type="dxa"/>
              <w:bottom w:w="22" w:type="dxa"/>
              <w:end w:w="28" w:type="dxa"/>
            </w:tcMar>
            <w:vAlign w:val="top"/>
          </w:tcPr>
          <w:p>
            <w:pPr>
              <w:spacing w:after="0" w:line="216" w:lineRule="auto"/>
            </w:pPr>
            <w:r>
              <w:rPr>
                <w:rFonts w:ascii="Cambria" w:hAnsi="Cambria"/>
                <w:sz w:val="12"/>
              </w:rPr>
              <w:t>Devin Bostick</w:t>
            </w:r>
          </w:p>
        </w:tc>
        <w:tc>
          <w:tcPr>
            <w:tcW w:type="dxa" w:w="2160"/>
            <w:tcMar>
              <w:top w:w="22" w:type="dxa"/>
              <w:start w:w="28" w:type="dxa"/>
              <w:bottom w:w="22" w:type="dxa"/>
              <w:end w:w="28" w:type="dxa"/>
            </w:tcMar>
            <w:vAlign w:val="top"/>
          </w:tcPr>
          <w:p>
            <w:pPr>
              <w:spacing w:after="0" w:line="216" w:lineRule="auto"/>
            </w:pPr>
            <w:r>
              <w:rPr>
                <w:rFonts w:ascii="Cambria" w:hAnsi="Cambria"/>
                <w:sz w:val="12"/>
              </w:rPr>
              <w:t>Phase-alignment / bounded-drift persistence</w:t>
            </w:r>
          </w:p>
        </w:tc>
        <w:tc>
          <w:tcPr>
            <w:tcW w:type="dxa" w:w="3960"/>
            <w:tcMar>
              <w:top w:w="22" w:type="dxa"/>
              <w:start w:w="28" w:type="dxa"/>
              <w:bottom w:w="22" w:type="dxa"/>
              <w:end w:w="28" w:type="dxa"/>
            </w:tcMar>
            <w:vAlign w:val="top"/>
          </w:tcPr>
          <w:p>
            <w:pPr>
              <w:spacing w:after="0" w:line="216" w:lineRule="auto"/>
            </w:pPr>
            <w:r>
              <w:rPr>
                <w:rFonts w:ascii="Cambria" w:hAnsi="Cambria"/>
                <w:sz w:val="12"/>
              </w:rPr>
              <w:t>Persistence ⇔ PAS_h ≥ θ_L ∧ ΔPAS_ζ ≤ ε_drift; differential counterpart dC/dt = ΓC^n − λC + η(∇S·∇Ω)</w:t>
            </w:r>
          </w:p>
        </w:tc>
        <w:tc>
          <w:tcPr>
            <w:tcW w:type="dxa" w:w="2664"/>
            <w:tcMar>
              <w:top w:w="22" w:type="dxa"/>
              <w:start w:w="28" w:type="dxa"/>
              <w:bottom w:w="22" w:type="dxa"/>
              <w:end w:w="28" w:type="dxa"/>
            </w:tcMar>
            <w:vAlign w:val="top"/>
          </w:tcPr>
          <w:p>
            <w:pPr>
              <w:spacing w:after="0" w:line="216" w:lineRule="auto"/>
            </w:pPr>
            <w:r>
              <w:rPr>
                <w:rFonts w:ascii="Cambria" w:hAnsi="Cambria"/>
                <w:sz w:val="12"/>
              </w:rPr>
              <w:t>PhilArchive / Zenodo series; current stack supersedes some broad CODES claims</w:t>
            </w:r>
          </w:p>
        </w:tc>
        <w:tc>
          <w:tcPr>
            <w:tcW w:type="dxa" w:w="1800"/>
            <w:tcMar>
              <w:top w:w="22" w:type="dxa"/>
              <w:start w:w="28" w:type="dxa"/>
              <w:bottom w:w="22" w:type="dxa"/>
              <w:end w:w="28" w:type="dxa"/>
            </w:tcMar>
            <w:vAlign w:val="top"/>
          </w:tcPr>
          <w:p>
            <w:pPr>
              <w:spacing w:after="0" w:line="216" w:lineRule="auto"/>
            </w:pPr>
            <w:r>
              <w:rPr>
                <w:rFonts w:ascii="Cambria" w:hAnsi="Cambria"/>
                <w:sz w:val="12"/>
              </w:rPr>
              <w:t>Identity / phase dynamics</w:t>
            </w:r>
          </w:p>
        </w:tc>
        <w:tc>
          <w:tcPr>
            <w:tcW w:type="dxa" w:w="1152"/>
            <w:tcMar>
              <w:top w:w="22" w:type="dxa"/>
              <w:start w:w="28" w:type="dxa"/>
              <w:bottom w:w="22" w:type="dxa"/>
              <w:end w:w="28" w:type="dxa"/>
            </w:tcMar>
            <w:vAlign w:val="top"/>
          </w:tcPr>
          <w:p>
            <w:pPr>
              <w:spacing w:after="0" w:line="216" w:lineRule="auto"/>
            </w:pPr>
            <w:r>
              <w:rPr>
                <w:rFonts w:ascii="Cambria" w:hAnsi="Cambria"/>
                <w:sz w:val="12"/>
              </w:rPr>
              <w:t>E4/E5</w:t>
            </w:r>
          </w:p>
        </w:tc>
        <w:tc>
          <w:tcPr>
            <w:tcW w:type="dxa" w:w="3384"/>
            <w:tcMar>
              <w:top w:w="22" w:type="dxa"/>
              <w:start w:w="28" w:type="dxa"/>
              <w:bottom w:w="22" w:type="dxa"/>
              <w:end w:w="28" w:type="dxa"/>
            </w:tcMar>
            <w:vAlign w:val="top"/>
          </w:tcPr>
          <w:p>
            <w:pPr>
              <w:spacing w:after="0" w:line="216" w:lineRule="auto"/>
            </w:pPr>
            <w:r>
              <w:rPr>
                <w:rFonts w:ascii="Cambria" w:hAnsi="Cambria"/>
                <w:sz w:val="12"/>
              </w:rPr>
              <w:t>PRE-ZORAN phase/drift programme on a specific invariant; later 2026 work narrows to identity persistence under explicit assumptions.</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2026-01-25</w:t>
            </w:r>
          </w:p>
        </w:tc>
        <w:tc>
          <w:tcPr>
            <w:tcW w:type="dxa" w:w="2088"/>
            <w:tcMar>
              <w:top w:w="22" w:type="dxa"/>
              <w:start w:w="28" w:type="dxa"/>
              <w:bottom w:w="22" w:type="dxa"/>
              <w:end w:w="28" w:type="dxa"/>
            </w:tcMar>
            <w:vAlign w:val="top"/>
          </w:tcPr>
          <w:p>
            <w:pPr>
              <w:spacing w:after="0" w:line="216" w:lineRule="auto"/>
            </w:pPr>
            <w:r>
              <w:rPr>
                <w:rFonts w:ascii="Cambria" w:hAnsi="Cambria"/>
                <w:sz w:val="12"/>
              </w:rPr>
              <w:t>Peter Nero</w:t>
            </w:r>
          </w:p>
        </w:tc>
        <w:tc>
          <w:tcPr>
            <w:tcW w:type="dxa" w:w="2160"/>
            <w:tcMar>
              <w:top w:w="22" w:type="dxa"/>
              <w:start w:w="28" w:type="dxa"/>
              <w:bottom w:w="22" w:type="dxa"/>
              <w:end w:w="28" w:type="dxa"/>
            </w:tcMar>
            <w:vAlign w:val="top"/>
          </w:tcPr>
          <w:p>
            <w:pPr>
              <w:spacing w:after="0" w:line="216" w:lineRule="auto"/>
            </w:pPr>
            <w:r>
              <w:rPr>
                <w:rFonts w:ascii="Cambria" w:hAnsi="Cambria"/>
                <w:sz w:val="12"/>
              </w:rPr>
              <w:t>Coherent Kinematics</w:t>
            </w:r>
          </w:p>
        </w:tc>
        <w:tc>
          <w:tcPr>
            <w:tcW w:type="dxa" w:w="3960"/>
            <w:tcMar>
              <w:top w:w="22" w:type="dxa"/>
              <w:start w:w="28" w:type="dxa"/>
              <w:bottom w:w="22" w:type="dxa"/>
              <w:end w:w="28" w:type="dxa"/>
            </w:tcMar>
            <w:vAlign w:val="top"/>
          </w:tcPr>
          <w:p>
            <w:pPr>
              <w:spacing w:after="0" w:line="216" w:lineRule="auto"/>
            </w:pPr>
            <w:r>
              <w:rPr>
                <w:rFonts w:ascii="Cambria" w:hAnsi="Cambria"/>
                <w:sz w:val="12"/>
              </w:rPr>
              <w:t>Motion = persistence of coherent structure across admissible continuation chains</w:t>
            </w:r>
          </w:p>
        </w:tc>
        <w:tc>
          <w:tcPr>
            <w:tcW w:type="dxa" w:w="2664"/>
            <w:tcMar>
              <w:top w:w="22" w:type="dxa"/>
              <w:start w:w="28" w:type="dxa"/>
              <w:bottom w:w="22" w:type="dxa"/>
              <w:end w:w="28" w:type="dxa"/>
            </w:tcMar>
            <w:vAlign w:val="top"/>
          </w:tcPr>
          <w:p>
            <w:pPr>
              <w:spacing w:after="0" w:line="216" w:lineRule="auto"/>
            </w:pPr>
            <w:r>
              <w:rPr>
                <w:rFonts w:ascii="Cambria" w:hAnsi="Cambria"/>
                <w:sz w:val="12"/>
              </w:rPr>
              <w:t>10.5281/zenodo.18354943</w:t>
            </w:r>
          </w:p>
        </w:tc>
        <w:tc>
          <w:tcPr>
            <w:tcW w:type="dxa" w:w="1800"/>
            <w:tcMar>
              <w:top w:w="22" w:type="dxa"/>
              <w:start w:w="28" w:type="dxa"/>
              <w:bottom w:w="22" w:type="dxa"/>
              <w:end w:w="28" w:type="dxa"/>
            </w:tcMar>
            <w:vAlign w:val="top"/>
          </w:tcPr>
          <w:p>
            <w:pPr>
              <w:spacing w:after="0" w:line="216" w:lineRule="auto"/>
            </w:pPr>
            <w:r>
              <w:rPr>
                <w:rFonts w:ascii="Cambria" w:hAnsi="Cambria"/>
                <w:sz w:val="12"/>
              </w:rPr>
              <w:t>Kinematics / structural physics</w:t>
            </w:r>
          </w:p>
        </w:tc>
        <w:tc>
          <w:tcPr>
            <w:tcW w:type="dxa" w:w="1152"/>
            <w:tcMar>
              <w:top w:w="22" w:type="dxa"/>
              <w:start w:w="28" w:type="dxa"/>
              <w:bottom w:w="22" w:type="dxa"/>
              <w:end w:w="28" w:type="dxa"/>
            </w:tcMar>
            <w:vAlign w:val="top"/>
          </w:tcPr>
          <w:p>
            <w:pPr>
              <w:spacing w:after="0" w:line="216" w:lineRule="auto"/>
            </w:pPr>
            <w:r>
              <w:rPr>
                <w:rFonts w:ascii="Cambria" w:hAnsi="Cambria"/>
                <w:sz w:val="12"/>
              </w:rPr>
              <w:t>E4/E5</w:t>
            </w:r>
          </w:p>
        </w:tc>
        <w:tc>
          <w:tcPr>
            <w:tcW w:type="dxa" w:w="3384"/>
            <w:tcMar>
              <w:top w:w="22" w:type="dxa"/>
              <w:start w:w="28" w:type="dxa"/>
              <w:bottom w:w="22" w:type="dxa"/>
              <w:end w:w="28" w:type="dxa"/>
            </w:tcMar>
            <w:vAlign w:val="top"/>
          </w:tcPr>
          <w:p>
            <w:pPr>
              <w:spacing w:after="0" w:line="216" w:lineRule="auto"/>
            </w:pPr>
            <w:r>
              <w:rPr>
                <w:rFonts w:ascii="Cambria" w:hAnsi="Cambria"/>
                <w:sz w:val="12"/>
              </w:rPr>
              <w:t>Directly relevant to coherence kinematics and admissible futures</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2026-01-31</w:t>
            </w:r>
          </w:p>
        </w:tc>
        <w:tc>
          <w:tcPr>
            <w:tcW w:type="dxa" w:w="2088"/>
            <w:tcMar>
              <w:top w:w="22" w:type="dxa"/>
              <w:start w:w="28" w:type="dxa"/>
              <w:bottom w:w="22" w:type="dxa"/>
              <w:end w:w="28" w:type="dxa"/>
            </w:tcMar>
            <w:vAlign w:val="top"/>
          </w:tcPr>
          <w:p>
            <w:pPr>
              <w:spacing w:after="0" w:line="216" w:lineRule="auto"/>
            </w:pPr>
            <w:r>
              <w:rPr>
                <w:rFonts w:ascii="Cambria" w:hAnsi="Cambria"/>
                <w:sz w:val="12"/>
              </w:rPr>
              <w:t>Kearon Allen</w:t>
            </w:r>
          </w:p>
        </w:tc>
        <w:tc>
          <w:tcPr>
            <w:tcW w:type="dxa" w:w="2160"/>
            <w:tcMar>
              <w:top w:w="22" w:type="dxa"/>
              <w:start w:w="28" w:type="dxa"/>
              <w:bottom w:w="22" w:type="dxa"/>
              <w:end w:w="28" w:type="dxa"/>
            </w:tcMar>
            <w:vAlign w:val="top"/>
          </w:tcPr>
          <w:p>
            <w:pPr>
              <w:spacing w:after="0" w:line="216" w:lineRule="auto"/>
            </w:pPr>
            <w:r>
              <w:rPr>
                <w:rFonts w:ascii="Cambria" w:hAnsi="Cambria"/>
                <w:sz w:val="12"/>
              </w:rPr>
              <w:t>Law of Admissible Structure</w:t>
            </w:r>
          </w:p>
        </w:tc>
        <w:tc>
          <w:tcPr>
            <w:tcW w:type="dxa" w:w="3960"/>
            <w:tcMar>
              <w:top w:w="22" w:type="dxa"/>
              <w:start w:w="28" w:type="dxa"/>
              <w:bottom w:w="22" w:type="dxa"/>
              <w:end w:w="28" w:type="dxa"/>
            </w:tcMar>
            <w:vAlign w:val="top"/>
          </w:tcPr>
          <w:p>
            <w:pPr>
              <w:spacing w:after="0" w:line="216" w:lineRule="auto"/>
            </w:pPr>
            <w:r>
              <w:rPr>
                <w:rFonts w:ascii="Cambria" w:hAnsi="Cambria"/>
                <w:sz w:val="12"/>
              </w:rPr>
              <w:t>Update accepted iff the resulting structure satisfies the coherence/admissibility rule</w:t>
            </w:r>
          </w:p>
        </w:tc>
        <w:tc>
          <w:tcPr>
            <w:tcW w:type="dxa" w:w="2664"/>
            <w:tcMar>
              <w:top w:w="22" w:type="dxa"/>
              <w:start w:w="28" w:type="dxa"/>
              <w:bottom w:w="22" w:type="dxa"/>
              <w:end w:w="28" w:type="dxa"/>
            </w:tcMar>
            <w:vAlign w:val="top"/>
          </w:tcPr>
          <w:p>
            <w:pPr>
              <w:spacing w:after="0" w:line="216" w:lineRule="auto"/>
            </w:pPr>
            <w:r>
              <w:rPr>
                <w:rFonts w:ascii="Cambria" w:hAnsi="Cambria"/>
                <w:sz w:val="12"/>
              </w:rPr>
              <w:t>10.5281/zenodo.18442745</w:t>
            </w:r>
          </w:p>
        </w:tc>
        <w:tc>
          <w:tcPr>
            <w:tcW w:type="dxa" w:w="1800"/>
            <w:tcMar>
              <w:top w:w="22" w:type="dxa"/>
              <w:start w:w="28" w:type="dxa"/>
              <w:bottom w:w="22" w:type="dxa"/>
              <w:end w:w="28" w:type="dxa"/>
            </w:tcMar>
            <w:vAlign w:val="top"/>
          </w:tcPr>
          <w:p>
            <w:pPr>
              <w:spacing w:after="0" w:line="216" w:lineRule="auto"/>
            </w:pPr>
            <w:r>
              <w:rPr>
                <w:rFonts w:ascii="Cambria" w:hAnsi="Cambria"/>
                <w:sz w:val="12"/>
              </w:rPr>
              <w:t>Domain-independent formal systems</w:t>
            </w:r>
          </w:p>
        </w:tc>
        <w:tc>
          <w:tcPr>
            <w:tcW w:type="dxa" w:w="1152"/>
            <w:tcMar>
              <w:top w:w="22" w:type="dxa"/>
              <w:start w:w="28" w:type="dxa"/>
              <w:bottom w:w="22" w:type="dxa"/>
              <w:end w:w="28" w:type="dxa"/>
            </w:tcMar>
            <w:vAlign w:val="top"/>
          </w:tcPr>
          <w:p>
            <w:pPr>
              <w:spacing w:after="0" w:line="216" w:lineRule="auto"/>
            </w:pPr>
            <w:r>
              <w:rPr>
                <w:rFonts w:ascii="Cambria" w:hAnsi="Cambria"/>
                <w:sz w:val="12"/>
              </w:rPr>
              <w:t>E4/E5</w:t>
            </w:r>
          </w:p>
        </w:tc>
        <w:tc>
          <w:tcPr>
            <w:tcW w:type="dxa" w:w="3384"/>
            <w:tcMar>
              <w:top w:w="22" w:type="dxa"/>
              <w:start w:w="28" w:type="dxa"/>
              <w:bottom w:w="22" w:type="dxa"/>
              <w:end w:w="28" w:type="dxa"/>
            </w:tcMar>
            <w:vAlign w:val="top"/>
          </w:tcPr>
          <w:p>
            <w:pPr>
              <w:spacing w:after="0" w:line="216" w:lineRule="auto"/>
            </w:pPr>
            <w:r>
              <w:rPr>
                <w:rFonts w:ascii="Cambria" w:hAnsi="Cambria"/>
                <w:sz w:val="12"/>
              </w:rPr>
              <w:t>Minimal gate; post-Zoran public core</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2026-02-20</w:t>
            </w:r>
          </w:p>
        </w:tc>
        <w:tc>
          <w:tcPr>
            <w:tcW w:type="dxa" w:w="2088"/>
            <w:tcMar>
              <w:top w:w="22" w:type="dxa"/>
              <w:start w:w="28" w:type="dxa"/>
              <w:bottom w:w="22" w:type="dxa"/>
              <w:end w:w="28" w:type="dxa"/>
            </w:tcMar>
            <w:vAlign w:val="top"/>
          </w:tcPr>
          <w:p>
            <w:pPr>
              <w:spacing w:after="0" w:line="216" w:lineRule="auto"/>
            </w:pPr>
            <w:r>
              <w:rPr>
                <w:rFonts w:ascii="Cambria" w:hAnsi="Cambria"/>
                <w:sz w:val="12"/>
              </w:rPr>
              <w:t>Andrew J. Paton</w:t>
            </w:r>
          </w:p>
        </w:tc>
        <w:tc>
          <w:tcPr>
            <w:tcW w:type="dxa" w:w="2160"/>
            <w:tcMar>
              <w:top w:w="22" w:type="dxa"/>
              <w:start w:w="28" w:type="dxa"/>
              <w:bottom w:w="22" w:type="dxa"/>
              <w:end w:w="28" w:type="dxa"/>
            </w:tcMar>
            <w:vAlign w:val="top"/>
          </w:tcPr>
          <w:p>
            <w:pPr>
              <w:spacing w:after="0" w:line="216" w:lineRule="auto"/>
            </w:pPr>
            <w:r>
              <w:rPr>
                <w:rFonts w:ascii="Cambria" w:hAnsi="Cambria"/>
                <w:sz w:val="12"/>
              </w:rPr>
              <w:t>Unified / Foundational Admissibility</w:t>
            </w:r>
          </w:p>
        </w:tc>
        <w:tc>
          <w:tcPr>
            <w:tcW w:type="dxa" w:w="3960"/>
            <w:tcMar>
              <w:top w:w="22" w:type="dxa"/>
              <w:start w:w="28" w:type="dxa"/>
              <w:bottom w:w="22" w:type="dxa"/>
              <w:end w:w="28" w:type="dxa"/>
            </w:tcMar>
            <w:vAlign w:val="top"/>
          </w:tcPr>
          <w:p>
            <w:pPr>
              <w:spacing w:after="0" w:line="216" w:lineRule="auto"/>
            </w:pPr>
            <w:r>
              <w:rPr>
                <w:rFonts w:ascii="Cambria" w:hAnsi="Cambria"/>
                <w:sz w:val="12"/>
              </w:rPr>
              <w:t>Continuation(s) ⇔ G(P(s))=1; plus Admissible(x) ∧ Reachable(x0,x)</w:t>
            </w:r>
          </w:p>
        </w:tc>
        <w:tc>
          <w:tcPr>
            <w:tcW w:type="dxa" w:w="2664"/>
            <w:tcMar>
              <w:top w:w="22" w:type="dxa"/>
              <w:start w:w="28" w:type="dxa"/>
              <w:bottom w:w="22" w:type="dxa"/>
              <w:end w:w="28" w:type="dxa"/>
            </w:tcMar>
            <w:vAlign w:val="top"/>
          </w:tcPr>
          <w:p>
            <w:pPr>
              <w:spacing w:after="0" w:line="216" w:lineRule="auto"/>
            </w:pPr>
            <w:r>
              <w:rPr>
                <w:rFonts w:ascii="Cambria" w:hAnsi="Cambria"/>
                <w:sz w:val="12"/>
              </w:rPr>
              <w:t>10.5281/zenodo.18707596; 18708653</w:t>
            </w:r>
          </w:p>
        </w:tc>
        <w:tc>
          <w:tcPr>
            <w:tcW w:type="dxa" w:w="1800"/>
            <w:tcMar>
              <w:top w:w="22" w:type="dxa"/>
              <w:start w:w="28" w:type="dxa"/>
              <w:bottom w:w="22" w:type="dxa"/>
              <w:end w:w="28" w:type="dxa"/>
            </w:tcMar>
            <w:vAlign w:val="top"/>
          </w:tcPr>
          <w:p>
            <w:pPr>
              <w:spacing w:after="0" w:line="216" w:lineRule="auto"/>
            </w:pPr>
            <w:r>
              <w:rPr>
                <w:rFonts w:ascii="Cambria" w:hAnsi="Cambria"/>
                <w:sz w:val="12"/>
              </w:rPr>
              <w:t>Admissibility / persistence</w:t>
            </w:r>
          </w:p>
        </w:tc>
        <w:tc>
          <w:tcPr>
            <w:tcW w:type="dxa" w:w="1152"/>
            <w:tcMar>
              <w:top w:w="22" w:type="dxa"/>
              <w:start w:w="28" w:type="dxa"/>
              <w:bottom w:w="22" w:type="dxa"/>
              <w:end w:w="28" w:type="dxa"/>
            </w:tcMar>
            <w:vAlign w:val="top"/>
          </w:tcPr>
          <w:p>
            <w:pPr>
              <w:spacing w:after="0" w:line="216" w:lineRule="auto"/>
            </w:pPr>
            <w:r>
              <w:rPr>
                <w:rFonts w:ascii="Cambria" w:hAnsi="Cambria"/>
                <w:sz w:val="12"/>
              </w:rPr>
              <w:t>E4</w:t>
            </w:r>
          </w:p>
        </w:tc>
        <w:tc>
          <w:tcPr>
            <w:tcW w:type="dxa" w:w="3384"/>
            <w:tcMar>
              <w:top w:w="22" w:type="dxa"/>
              <w:start w:w="28" w:type="dxa"/>
              <w:bottom w:w="22" w:type="dxa"/>
              <w:end w:w="28" w:type="dxa"/>
            </w:tcMar>
            <w:vAlign w:val="top"/>
          </w:tcPr>
          <w:p>
            <w:pPr>
              <w:spacing w:after="0" w:line="216" w:lineRule="auto"/>
            </w:pPr>
            <w:r>
              <w:rPr>
                <w:rFonts w:ascii="Cambria" w:hAnsi="Cambria"/>
                <w:sz w:val="12"/>
              </w:rPr>
              <w:t>Reachability is a specific delta requiring formula-level comparison with earlier trajectories</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2026</w:t>
            </w:r>
          </w:p>
        </w:tc>
        <w:tc>
          <w:tcPr>
            <w:tcW w:type="dxa" w:w="2088"/>
            <w:tcMar>
              <w:top w:w="22" w:type="dxa"/>
              <w:start w:w="28" w:type="dxa"/>
              <w:bottom w:w="22" w:type="dxa"/>
              <w:end w:w="28" w:type="dxa"/>
            </w:tcMar>
            <w:vAlign w:val="top"/>
          </w:tcPr>
          <w:p>
            <w:pPr>
              <w:spacing w:after="0" w:line="216" w:lineRule="auto"/>
            </w:pPr>
            <w:r>
              <w:rPr>
                <w:rFonts w:ascii="Cambria" w:hAnsi="Cambria"/>
                <w:sz w:val="12"/>
              </w:rPr>
              <w:t>Matteo Bellori</w:t>
            </w:r>
          </w:p>
        </w:tc>
        <w:tc>
          <w:tcPr>
            <w:tcW w:type="dxa" w:w="2160"/>
            <w:tcMar>
              <w:top w:w="22" w:type="dxa"/>
              <w:start w:w="28" w:type="dxa"/>
              <w:bottom w:w="22" w:type="dxa"/>
              <w:end w:w="28" w:type="dxa"/>
            </w:tcMar>
            <w:vAlign w:val="top"/>
          </w:tcPr>
          <w:p>
            <w:pPr>
              <w:spacing w:after="0" w:line="216" w:lineRule="auto"/>
            </w:pPr>
            <w:r>
              <w:rPr>
                <w:rFonts w:ascii="Cambria" w:hAnsi="Cambria"/>
                <w:sz w:val="12"/>
              </w:rPr>
              <w:t>Preserved Coherence Under Change</w:t>
            </w:r>
          </w:p>
        </w:tc>
        <w:tc>
          <w:tcPr>
            <w:tcW w:type="dxa" w:w="3960"/>
            <w:tcMar>
              <w:top w:w="22" w:type="dxa"/>
              <w:start w:w="28" w:type="dxa"/>
              <w:bottom w:w="22" w:type="dxa"/>
              <w:end w:w="28" w:type="dxa"/>
            </w:tcMar>
            <w:vAlign w:val="top"/>
          </w:tcPr>
          <w:p>
            <w:pPr>
              <w:spacing w:after="0" w:line="216" w:lineRule="auto"/>
            </w:pPr>
            <w:r>
              <w:rPr>
                <w:rFonts w:ascii="Cambria" w:hAnsi="Cambria"/>
                <w:sz w:val="12"/>
              </w:rPr>
              <w:t>O(C_i,C_{i+1}) ≥ θ; O=|R_i∩R_{i+1}|/|R_i∪R_{i+1}|; S_B=(T·R·D)/(1+ΔS)</w:t>
            </w:r>
          </w:p>
        </w:tc>
        <w:tc>
          <w:tcPr>
            <w:tcW w:type="dxa" w:w="2664"/>
            <w:tcMar>
              <w:top w:w="22" w:type="dxa"/>
              <w:start w:w="28" w:type="dxa"/>
              <w:bottom w:w="22" w:type="dxa"/>
              <w:end w:w="28" w:type="dxa"/>
            </w:tcMar>
            <w:vAlign w:val="top"/>
          </w:tcPr>
          <w:p>
            <w:pPr>
              <w:spacing w:after="0" w:line="216" w:lineRule="auto"/>
            </w:pPr>
            <w:r>
              <w:rPr>
                <w:rFonts w:ascii="Cambria" w:hAnsi="Cambria"/>
                <w:sz w:val="12"/>
              </w:rPr>
              <w:t>PhilArchive BELTPO-39; DOI not verified</w:t>
            </w:r>
          </w:p>
        </w:tc>
        <w:tc>
          <w:tcPr>
            <w:tcW w:type="dxa" w:w="1800"/>
            <w:tcMar>
              <w:top w:w="22" w:type="dxa"/>
              <w:start w:w="28" w:type="dxa"/>
              <w:bottom w:w="22" w:type="dxa"/>
              <w:end w:w="28" w:type="dxa"/>
            </w:tcMar>
            <w:vAlign w:val="top"/>
          </w:tcPr>
          <w:p>
            <w:pPr>
              <w:spacing w:after="0" w:line="216" w:lineRule="auto"/>
            </w:pPr>
            <w:r>
              <w:rPr>
                <w:rFonts w:ascii="Cambria" w:hAnsi="Cambria"/>
                <w:sz w:val="12"/>
              </w:rPr>
              <w:t>Identity / structural continuity</w:t>
            </w:r>
          </w:p>
        </w:tc>
        <w:tc>
          <w:tcPr>
            <w:tcW w:type="dxa" w:w="1152"/>
            <w:tcMar>
              <w:top w:w="22" w:type="dxa"/>
              <w:start w:w="28" w:type="dxa"/>
              <w:bottom w:w="22" w:type="dxa"/>
              <w:end w:w="28" w:type="dxa"/>
            </w:tcMar>
            <w:vAlign w:val="top"/>
          </w:tcPr>
          <w:p>
            <w:pPr>
              <w:spacing w:after="0" w:line="216" w:lineRule="auto"/>
            </w:pPr>
            <w:r>
              <w:rPr>
                <w:rFonts w:ascii="Cambria" w:hAnsi="Cambria"/>
                <w:sz w:val="12"/>
              </w:rPr>
              <w:t>E4/E5</w:t>
            </w:r>
          </w:p>
        </w:tc>
        <w:tc>
          <w:tcPr>
            <w:tcW w:type="dxa" w:w="3384"/>
            <w:tcMar>
              <w:top w:w="22" w:type="dxa"/>
              <w:start w:w="28" w:type="dxa"/>
              <w:bottom w:w="22" w:type="dxa"/>
              <w:end w:w="28" w:type="dxa"/>
            </w:tcMar>
            <w:vAlign w:val="top"/>
          </w:tcPr>
          <w:p>
            <w:pPr>
              <w:spacing w:after="0" w:line="216" w:lineRule="auto"/>
            </w:pPr>
            <w:r>
              <w:rPr>
                <w:rFonts w:ascii="Cambria" w:hAnsi="Cambria"/>
                <w:sz w:val="12"/>
              </w:rPr>
              <w:t>POST-ZORAN; explicit overlap, tolerance-domain and stability ratio. Structurally similar skeleton, not identical operands.</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2026-03</w:t>
            </w:r>
          </w:p>
        </w:tc>
        <w:tc>
          <w:tcPr>
            <w:tcW w:type="dxa" w:w="2088"/>
            <w:tcMar>
              <w:top w:w="22" w:type="dxa"/>
              <w:start w:w="28" w:type="dxa"/>
              <w:bottom w:w="22" w:type="dxa"/>
              <w:end w:w="28" w:type="dxa"/>
            </w:tcMar>
            <w:vAlign w:val="top"/>
          </w:tcPr>
          <w:p>
            <w:pPr>
              <w:spacing w:after="0" w:line="216" w:lineRule="auto"/>
            </w:pPr>
            <w:r>
              <w:rPr>
                <w:rFonts w:ascii="Cambria" w:hAnsi="Cambria"/>
                <w:sz w:val="12"/>
              </w:rPr>
              <w:t>Abdulsalam Al-Mayahi</w:t>
            </w:r>
          </w:p>
        </w:tc>
        <w:tc>
          <w:tcPr>
            <w:tcW w:type="dxa" w:w="2160"/>
            <w:tcMar>
              <w:top w:w="22" w:type="dxa"/>
              <w:start w:w="28" w:type="dxa"/>
              <w:bottom w:w="22" w:type="dxa"/>
              <w:end w:w="28" w:type="dxa"/>
            </w:tcMar>
            <w:vAlign w:val="top"/>
          </w:tcPr>
          <w:p>
            <w:pPr>
              <w:spacing w:after="0" w:line="216" w:lineRule="auto"/>
            </w:pPr>
            <w:r>
              <w:rPr>
                <w:rFonts w:ascii="Cambria" w:hAnsi="Cambria"/>
                <w:sz w:val="12"/>
              </w:rPr>
              <w:t>Universal Law of Structural Persistence</w:t>
            </w:r>
          </w:p>
        </w:tc>
        <w:tc>
          <w:tcPr>
            <w:tcW w:type="dxa" w:w="3960"/>
            <w:tcMar>
              <w:top w:w="22" w:type="dxa"/>
              <w:start w:w="28" w:type="dxa"/>
              <w:bottom w:w="22" w:type="dxa"/>
              <w:end w:w="28" w:type="dxa"/>
            </w:tcMar>
            <w:vAlign w:val="top"/>
          </w:tcPr>
          <w:p>
            <w:pPr>
              <w:spacing w:after="0" w:line="216" w:lineRule="auto"/>
            </w:pPr>
            <w:r>
              <w:rPr>
                <w:rFonts w:ascii="Cambria" w:hAnsi="Cambria"/>
                <w:sz w:val="12"/>
              </w:rPr>
              <w:t>dW_i/dt = γ(C_i−C_crit)W_i; later C_i = I(S_i;E)/H(S_i)</w:t>
            </w:r>
          </w:p>
        </w:tc>
        <w:tc>
          <w:tcPr>
            <w:tcW w:type="dxa" w:w="2664"/>
            <w:tcMar>
              <w:top w:w="22" w:type="dxa"/>
              <w:start w:w="28" w:type="dxa"/>
              <w:bottom w:w="22" w:type="dxa"/>
              <w:end w:w="28" w:type="dxa"/>
            </w:tcMar>
            <w:vAlign w:val="top"/>
          </w:tcPr>
          <w:p>
            <w:pPr>
              <w:spacing w:after="0" w:line="216" w:lineRule="auto"/>
            </w:pPr>
            <w:r>
              <w:rPr>
                <w:rFonts w:ascii="Cambria" w:hAnsi="Cambria"/>
                <w:sz w:val="12"/>
              </w:rPr>
              <w:t>10.5281/zenodo.19056454; 19185301</w:t>
            </w:r>
          </w:p>
        </w:tc>
        <w:tc>
          <w:tcPr>
            <w:tcW w:type="dxa" w:w="1800"/>
            <w:tcMar>
              <w:top w:w="22" w:type="dxa"/>
              <w:start w:w="28" w:type="dxa"/>
              <w:bottom w:w="22" w:type="dxa"/>
              <w:end w:w="28" w:type="dxa"/>
            </w:tcMar>
            <w:vAlign w:val="top"/>
          </w:tcPr>
          <w:p>
            <w:pPr>
              <w:spacing w:after="0" w:line="216" w:lineRule="auto"/>
            </w:pPr>
            <w:r>
              <w:rPr>
                <w:rFonts w:ascii="Cambria" w:hAnsi="Cambria"/>
                <w:sz w:val="12"/>
              </w:rPr>
              <w:t>Cross-domain persistence</w:t>
            </w:r>
          </w:p>
        </w:tc>
        <w:tc>
          <w:tcPr>
            <w:tcW w:type="dxa" w:w="1152"/>
            <w:tcMar>
              <w:top w:w="22" w:type="dxa"/>
              <w:start w:w="28" w:type="dxa"/>
              <w:bottom w:w="22" w:type="dxa"/>
              <w:end w:w="28" w:type="dxa"/>
            </w:tcMar>
            <w:vAlign w:val="top"/>
          </w:tcPr>
          <w:p>
            <w:pPr>
              <w:spacing w:after="0" w:line="216" w:lineRule="auto"/>
            </w:pPr>
            <w:r>
              <w:rPr>
                <w:rFonts w:ascii="Cambria" w:hAnsi="Cambria"/>
                <w:sz w:val="12"/>
              </w:rPr>
              <w:t>E4</w:t>
            </w:r>
          </w:p>
        </w:tc>
        <w:tc>
          <w:tcPr>
            <w:tcW w:type="dxa" w:w="3384"/>
            <w:tcMar>
              <w:top w:w="22" w:type="dxa"/>
              <w:start w:w="28" w:type="dxa"/>
              <w:bottom w:w="22" w:type="dxa"/>
              <w:end w:w="28" w:type="dxa"/>
            </w:tcMar>
            <w:vAlign w:val="top"/>
          </w:tcPr>
          <w:p>
            <w:pPr>
              <w:spacing w:after="0" w:line="216" w:lineRule="auto"/>
            </w:pPr>
            <w:r>
              <w:rPr>
                <w:rFonts w:ascii="Cambria" w:hAnsi="Cambria"/>
                <w:sz w:val="12"/>
              </w:rPr>
              <w:t>Strong explicit persistence ODE; licence/patent restrictions require separation from reuse</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2026-06-16</w:t>
            </w:r>
          </w:p>
        </w:tc>
        <w:tc>
          <w:tcPr>
            <w:tcW w:type="dxa" w:w="2088"/>
            <w:tcMar>
              <w:top w:w="22" w:type="dxa"/>
              <w:start w:w="28" w:type="dxa"/>
              <w:bottom w:w="22" w:type="dxa"/>
              <w:end w:w="28" w:type="dxa"/>
            </w:tcMar>
            <w:vAlign w:val="top"/>
          </w:tcPr>
          <w:p>
            <w:pPr>
              <w:spacing w:after="0" w:line="216" w:lineRule="auto"/>
            </w:pPr>
            <w:r>
              <w:rPr>
                <w:rFonts w:ascii="Cambria" w:hAnsi="Cambria"/>
                <w:sz w:val="12"/>
              </w:rPr>
              <w:t>Jimenez et al.</w:t>
            </w:r>
          </w:p>
        </w:tc>
        <w:tc>
          <w:tcPr>
            <w:tcW w:type="dxa" w:w="2160"/>
            <w:tcMar>
              <w:top w:w="22" w:type="dxa"/>
              <w:start w:w="28" w:type="dxa"/>
              <w:bottom w:w="22" w:type="dxa"/>
              <w:end w:w="28" w:type="dxa"/>
            </w:tcMar>
            <w:vAlign w:val="top"/>
          </w:tcPr>
          <w:p>
            <w:pPr>
              <w:spacing w:after="0" w:line="216" w:lineRule="auto"/>
            </w:pPr>
            <w:r>
              <w:rPr>
                <w:rFonts w:ascii="Cambria" w:hAnsi="Cambria"/>
                <w:sz w:val="12"/>
              </w:rPr>
              <w:t>Coherence Principle for model selection</w:t>
            </w:r>
          </w:p>
        </w:tc>
        <w:tc>
          <w:tcPr>
            <w:tcW w:type="dxa" w:w="3960"/>
            <w:tcMar>
              <w:top w:w="22" w:type="dxa"/>
              <w:start w:w="28" w:type="dxa"/>
              <w:bottom w:w="22" w:type="dxa"/>
              <w:end w:w="28" w:type="dxa"/>
            </w:tcMar>
            <w:vAlign w:val="top"/>
          </w:tcPr>
          <w:p>
            <w:pPr>
              <w:spacing w:after="0" w:line="216" w:lineRule="auto"/>
            </w:pPr>
            <w:r>
              <w:rPr>
                <w:rFonts w:ascii="Cambria" w:hAnsi="Cambria"/>
                <w:sz w:val="12"/>
              </w:rPr>
              <w:t>C(M|T)=Σ_i w_iδ_i; P(M|T) ∝ exp[−αC(M|T)]</w:t>
            </w:r>
          </w:p>
        </w:tc>
        <w:tc>
          <w:tcPr>
            <w:tcW w:type="dxa" w:w="2664"/>
            <w:tcMar>
              <w:top w:w="22" w:type="dxa"/>
              <w:start w:w="28" w:type="dxa"/>
              <w:bottom w:w="22" w:type="dxa"/>
              <w:end w:w="28" w:type="dxa"/>
            </w:tcMar>
            <w:vAlign w:val="top"/>
          </w:tcPr>
          <w:p>
            <w:pPr>
              <w:spacing w:after="0" w:line="216" w:lineRule="auto"/>
            </w:pPr>
            <w:r>
              <w:rPr>
                <w:rFonts w:ascii="Cambria" w:hAnsi="Cambria"/>
                <w:sz w:val="12"/>
              </w:rPr>
              <w:t>arXiv:2606.18491</w:t>
            </w:r>
          </w:p>
        </w:tc>
        <w:tc>
          <w:tcPr>
            <w:tcW w:type="dxa" w:w="1800"/>
            <w:tcMar>
              <w:top w:w="22" w:type="dxa"/>
              <w:start w:w="28" w:type="dxa"/>
              <w:bottom w:w="22" w:type="dxa"/>
              <w:end w:w="28" w:type="dxa"/>
            </w:tcMar>
            <w:vAlign w:val="top"/>
          </w:tcPr>
          <w:p>
            <w:pPr>
              <w:spacing w:after="0" w:line="216" w:lineRule="auto"/>
            </w:pPr>
            <w:r>
              <w:rPr>
                <w:rFonts w:ascii="Cambria" w:hAnsi="Cambria"/>
                <w:sz w:val="12"/>
              </w:rPr>
              <w:t>Cosmology / model selection</w:t>
            </w:r>
          </w:p>
        </w:tc>
        <w:tc>
          <w:tcPr>
            <w:tcW w:type="dxa" w:w="1152"/>
            <w:tcMar>
              <w:top w:w="22" w:type="dxa"/>
              <w:start w:w="28" w:type="dxa"/>
              <w:bottom w:w="22" w:type="dxa"/>
              <w:end w:w="28" w:type="dxa"/>
            </w:tcMar>
            <w:vAlign w:val="top"/>
          </w:tcPr>
          <w:p>
            <w:pPr>
              <w:spacing w:after="0" w:line="216" w:lineRule="auto"/>
            </w:pPr>
            <w:r>
              <w:rPr>
                <w:rFonts w:ascii="Cambria" w:hAnsi="Cambria"/>
                <w:sz w:val="12"/>
              </w:rPr>
              <w:t>E6/E3</w:t>
            </w:r>
          </w:p>
        </w:tc>
        <w:tc>
          <w:tcPr>
            <w:tcW w:type="dxa" w:w="3384"/>
            <w:tcMar>
              <w:top w:w="22" w:type="dxa"/>
              <w:start w:w="28" w:type="dxa"/>
              <w:bottom w:w="22" w:type="dxa"/>
              <w:end w:w="28" w:type="dxa"/>
            </w:tcMar>
            <w:vAlign w:val="top"/>
          </w:tcPr>
          <w:p>
            <w:pPr>
              <w:spacing w:after="0" w:line="216" w:lineRule="auto"/>
            </w:pPr>
            <w:r>
              <w:rPr>
                <w:rFonts w:ascii="Cambria" w:hAnsi="Cambria"/>
                <w:sz w:val="12"/>
              </w:rPr>
              <w:t>POST-ZORAN; distinct object, but operational structural penalties and explicit no-compensating-violation guard are a notable independent convergence.</w:t>
            </w:r>
          </w:p>
        </w:tc>
      </w:tr>
      <w:tr>
        <w:tc>
          <w:tcPr>
            <w:tcW w:type="dxa" w:w="1224"/>
            <w:tcMar>
              <w:top w:w="22" w:type="dxa"/>
              <w:start w:w="28" w:type="dxa"/>
              <w:bottom w:w="22" w:type="dxa"/>
              <w:end w:w="28" w:type="dxa"/>
            </w:tcMar>
            <w:vAlign w:val="top"/>
          </w:tcPr>
          <w:p>
            <w:pPr>
              <w:spacing w:after="0" w:line="216" w:lineRule="auto"/>
            </w:pPr>
            <w:r>
              <w:rPr>
                <w:rFonts w:ascii="Cambria" w:hAnsi="Cambria"/>
                <w:sz w:val="12"/>
              </w:rPr>
              <w:t>2026-07-12</w:t>
            </w:r>
          </w:p>
        </w:tc>
        <w:tc>
          <w:tcPr>
            <w:tcW w:type="dxa" w:w="2088"/>
            <w:tcMar>
              <w:top w:w="22" w:type="dxa"/>
              <w:start w:w="28" w:type="dxa"/>
              <w:bottom w:w="22" w:type="dxa"/>
              <w:end w:w="28" w:type="dxa"/>
            </w:tcMar>
            <w:vAlign w:val="top"/>
          </w:tcPr>
          <w:p>
            <w:pPr>
              <w:spacing w:after="0" w:line="216" w:lineRule="auto"/>
            </w:pPr>
            <w:r>
              <w:rPr>
                <w:rFonts w:ascii="Cambria" w:hAnsi="Cambria"/>
                <w:sz w:val="12"/>
              </w:rPr>
              <w:t>Bucchiarone, Pierantonio &amp; Vangheluwe</w:t>
            </w:r>
          </w:p>
        </w:tc>
        <w:tc>
          <w:tcPr>
            <w:tcW w:type="dxa" w:w="2160"/>
            <w:tcMar>
              <w:top w:w="22" w:type="dxa"/>
              <w:start w:w="28" w:type="dxa"/>
              <w:bottom w:w="22" w:type="dxa"/>
              <w:end w:w="28" w:type="dxa"/>
            </w:tcMar>
            <w:vAlign w:val="top"/>
          </w:tcPr>
          <w:p>
            <w:pPr>
              <w:spacing w:after="0" w:line="216" w:lineRule="auto"/>
            </w:pPr>
            <w:r>
              <w:rPr>
                <w:rFonts w:ascii="Cambria" w:hAnsi="Cambria"/>
                <w:sz w:val="12"/>
              </w:rPr>
              <w:t>Synergic modeling of coherent systems</w:t>
            </w:r>
          </w:p>
        </w:tc>
        <w:tc>
          <w:tcPr>
            <w:tcW w:type="dxa" w:w="3960"/>
            <w:tcMar>
              <w:top w:w="22" w:type="dxa"/>
              <w:start w:w="28" w:type="dxa"/>
              <w:bottom w:w="22" w:type="dxa"/>
              <w:end w:w="28" w:type="dxa"/>
            </w:tcMar>
            <w:vAlign w:val="top"/>
          </w:tcPr>
          <w:p>
            <w:pPr>
              <w:spacing w:after="0" w:line="216" w:lineRule="auto"/>
            </w:pPr>
            <w:r>
              <w:rPr>
                <w:rFonts w:ascii="Cambria" w:hAnsi="Cambria"/>
                <w:sz w:val="12"/>
              </w:rPr>
              <w:t>Intersection/composition of coherence constraints over admissible trajectory families</w:t>
            </w:r>
          </w:p>
        </w:tc>
        <w:tc>
          <w:tcPr>
            <w:tcW w:type="dxa" w:w="2664"/>
            <w:tcMar>
              <w:top w:w="22" w:type="dxa"/>
              <w:start w:w="28" w:type="dxa"/>
              <w:bottom w:w="22" w:type="dxa"/>
              <w:end w:w="28" w:type="dxa"/>
            </w:tcMar>
            <w:vAlign w:val="top"/>
          </w:tcPr>
          <w:p>
            <w:pPr>
              <w:spacing w:after="0" w:line="216" w:lineRule="auto"/>
            </w:pPr>
            <w:r>
              <w:rPr>
                <w:rFonts w:ascii="Cambria" w:hAnsi="Cambria"/>
                <w:sz w:val="12"/>
              </w:rPr>
              <w:t>10.1007/s10270-026-01404-7</w:t>
            </w:r>
          </w:p>
        </w:tc>
        <w:tc>
          <w:tcPr>
            <w:tcW w:type="dxa" w:w="1800"/>
            <w:tcMar>
              <w:top w:w="22" w:type="dxa"/>
              <w:start w:w="28" w:type="dxa"/>
              <w:bottom w:w="22" w:type="dxa"/>
              <w:end w:w="28" w:type="dxa"/>
            </w:tcMar>
            <w:vAlign w:val="top"/>
          </w:tcPr>
          <w:p>
            <w:pPr>
              <w:spacing w:after="0" w:line="216" w:lineRule="auto"/>
            </w:pPr>
            <w:r>
              <w:rPr>
                <w:rFonts w:ascii="Cambria" w:hAnsi="Cambria"/>
                <w:sz w:val="12"/>
              </w:rPr>
              <w:t>Model-driven engineering</w:t>
            </w:r>
          </w:p>
        </w:tc>
        <w:tc>
          <w:tcPr>
            <w:tcW w:type="dxa" w:w="1152"/>
            <w:tcMar>
              <w:top w:w="22" w:type="dxa"/>
              <w:start w:w="28" w:type="dxa"/>
              <w:bottom w:w="22" w:type="dxa"/>
              <w:end w:w="28" w:type="dxa"/>
            </w:tcMar>
            <w:vAlign w:val="top"/>
          </w:tcPr>
          <w:p>
            <w:pPr>
              <w:spacing w:after="0" w:line="216" w:lineRule="auto"/>
            </w:pPr>
            <w:r>
              <w:rPr>
                <w:rFonts w:ascii="Cambria" w:hAnsi="Cambria"/>
                <w:sz w:val="12"/>
              </w:rPr>
              <w:t>E4/E5</w:t>
            </w:r>
          </w:p>
        </w:tc>
        <w:tc>
          <w:tcPr>
            <w:tcW w:type="dxa" w:w="3384"/>
            <w:tcMar>
              <w:top w:w="22" w:type="dxa"/>
              <w:start w:w="28" w:type="dxa"/>
              <w:bottom w:w="22" w:type="dxa"/>
              <w:end w:w="28" w:type="dxa"/>
            </w:tcMar>
            <w:vAlign w:val="top"/>
          </w:tcPr>
          <w:p>
            <w:pPr>
              <w:spacing w:after="0" w:line="216" w:lineRule="auto"/>
            </w:pPr>
            <w:r>
              <w:rPr>
                <w:rFonts w:ascii="Cambria" w:hAnsi="Cambria"/>
                <w:sz w:val="12"/>
              </w:rPr>
              <w:t>Peer-reviewed academic convergence with multi-constraint admissible trajectories; CC BY 4.0</w:t>
            </w:r>
          </w:p>
        </w:tc>
      </w:tr>
    </w:tbl>
    <w:p>
      <w:pPr>
        <w:sectPr>
          <w:headerReference w:type="default" r:id="rId11"/>
          <w:pgSz w:w="16834" w:h="11909" w:orient="landscape"/>
          <w:pgMar w:top="792" w:right="648" w:bottom="792" w:left="648" w:header="720" w:footer="720" w:gutter="0"/>
          <w:cols w:space="720"/>
          <w:docGrid w:linePitch="360"/>
        </w:sectPr>
      </w:pPr>
    </w:p>
    <w:p>
      <w:pPr>
        <w:pStyle w:val="Heading1"/>
        <w:keepNext/>
        <w:keepLines/>
      </w:pPr>
      <w:r>
        <w:t>3. What changed from the base Word document</w:t>
      </w:r>
    </w:p>
    <w:p>
      <w:r>
        <w:rPr>
          <w:b/>
        </w:rPr>
        <w:t xml:space="preserve">EXPANDED HISTORICAL FLOOR — </w:t>
      </w:r>
      <w:r>
        <w:t>The atlas now begins with Glauber’s 1963 quantum optical coherence formalism and explicitly includes Holling, Friston, Hu &amp; Fan, and other established mathematical lineages.</w:t>
      </w:r>
    </w:p>
    <w:p>
      <w:r>
        <w:rPr>
          <w:b/>
        </w:rPr>
        <w:t xml:space="preserve">EXPANDED 2025–2026 COMPARISON — </w:t>
      </w:r>
      <w:r>
        <w:t>The registry now includes the June 2025 Universal Coherence Principle, Jeremy Jones’s constraint-collapse kernel, Martirosyan et al.’s quantum speed limit, Peter Nero’s coherent kinematics, Bellori’s preserved-coherence framework, and the 2026 Coherence Principle for model selection.</w:t>
      </w:r>
    </w:p>
    <w:p>
      <w:r>
        <w:rPr>
          <w:b/>
        </w:rPr>
        <w:t xml:space="preserve">NEUTRAL PRIORITY LANGUAGE — </w:t>
      </w:r>
      <w:r>
        <w:t>The document no longer frames the field as a competition for the word coherence. Priority is local: first verifiable occurrence of a specific equation, operator, or formal combination.</w:t>
      </w:r>
    </w:p>
    <w:p>
      <w:r>
        <w:rPr>
          <w:b/>
        </w:rPr>
        <w:t xml:space="preserve">NO FALSE EQUIVALENCE — </w:t>
      </w:r>
      <w:r>
        <w:t>Cross-domain resemblance is treated as a hypothesis until a transformation certificate exists.</w:t>
      </w:r>
    </w:p>
    <w:p>
      <w:r>
        <w:rPr>
          <w:b/>
        </w:rPr>
        <w:t xml:space="preserve">NO FALSE COMPLETENESS — </w:t>
      </w:r>
      <w:r>
        <w:t>The 160-form legacy claim remains visible, but only 132 expressions are currently explicit in the available artefact.</w:t>
      </w:r>
    </w:p>
    <w:p>
      <w:pPr>
        <w:pStyle w:val="Heading1"/>
        <w:keepNext/>
        <w:keepLines/>
      </w:pPr>
      <w:r>
        <w:t>4. Internal mathematical evolution of Zoran</w:t>
      </w:r>
    </w:p>
    <w:p>
      <w:r>
        <w:t>This section preserves the base document’s chronology while separating historical forms from later working conventions. The universal status of any form is treated as a research hypothesis subject to falsification.</w:t>
      </w:r>
    </w:p>
    <w:p>
      <w:pPr>
        <w:spacing w:before="140" w:after="80"/>
        <w:jc w:val="center"/>
      </w:pPr>
      <w:r>
        <w:rPr>
          <w:rFonts w:ascii="Cambria Math" w:hAnsi="Cambria Math"/>
          <w:b/>
          <w:sz w:val="26"/>
        </w:rPr>
        <w:t>S = (β · ΔCₑ) / λ</w:t>
      </w:r>
    </w:p>
    <w:p>
      <w:pPr>
        <w:pStyle w:val="Caption"/>
        <w:jc w:val="center"/>
      </w:pPr>
      <w:r>
        <w:t>Early Zoran ratio used in Codex Ω and first variant engines.</w:t>
      </w:r>
    </w:p>
    <w:p>
      <w:pPr>
        <w:spacing w:before="140" w:after="80"/>
        <w:jc w:val="center"/>
      </w:pPr>
      <w:r>
        <w:rPr>
          <w:rFonts w:ascii="Cambria Math" w:hAnsi="Cambria Math"/>
          <w:b/>
          <w:sz w:val="26"/>
        </w:rPr>
        <w:t>S = (η · Ḟ · ΔΦ) / (T · σ̇ᵢᵣᵣ)</w:t>
      </w:r>
    </w:p>
    <w:p>
      <w:pPr>
        <w:pStyle w:val="Caption"/>
        <w:jc w:val="center"/>
      </w:pPr>
      <w:r>
        <w:t>Thermodynamic structural-coherence form. DOI 10.5281/zenodo.17682120, 1 November 2025.</w:t>
      </w:r>
    </w:p>
    <w:p>
      <w:pPr>
        <w:spacing w:before="140" w:after="80"/>
        <w:jc w:val="center"/>
      </w:pPr>
      <w:r>
        <w:rPr>
          <w:rFonts w:ascii="Cambria Math" w:hAnsi="Cambria Math"/>
          <w:b/>
          <w:sz w:val="26"/>
        </w:rPr>
        <w:t>S = (β · ΔΦ) / (T · σ)</w:t>
      </w:r>
    </w:p>
    <w:p>
      <w:pPr>
        <w:pStyle w:val="Caption"/>
        <w:jc w:val="center"/>
      </w:pPr>
      <w:r>
        <w:t>Generalized phenomenal-coherence gauge; later separated conceptually from the universal law and from domain proxies in Z1.</w:t>
      </w:r>
    </w:p>
    <w:p>
      <w:pPr>
        <w:spacing w:before="140" w:after="80"/>
        <w:jc w:val="center"/>
      </w:pPr>
      <w:r>
        <w:rPr>
          <w:rFonts w:ascii="Cambria Math" w:hAnsi="Cambria Math"/>
          <w:b/>
          <w:sz w:val="26"/>
        </w:rPr>
        <w:t>S = (β × ΔΦ) / (T × σ × 1)</w:t>
      </w:r>
    </w:p>
    <w:p>
      <w:pPr>
        <w:pStyle w:val="Caption"/>
        <w:jc w:val="center"/>
      </w:pPr>
      <w:r>
        <w:t>Working canonical notation declared 26 August 2026. ×1 is an identity element and is not itself a mathematical novelty.</w:t>
      </w:r>
    </w:p>
    <w:p>
      <w:pPr>
        <w:pStyle w:val="Heading1"/>
        <w:keepNext/>
        <w:keepLines/>
      </w:pPr>
      <w:r>
        <w:t>5. Engine audit: what each Zoran tool actually establishes</w:t>
      </w:r>
    </w:p>
    <w:tbl>
      <w:tblPr>
        <w:tblStyle w:val="TableGrid"/>
        <w:tblW w:type="auto" w:w="0"/>
        <w:jc w:val="center"/>
        <w:tblLook w:firstColumn="1" w:firstRow="1" w:lastColumn="0" w:lastRow="0" w:noHBand="0" w:noVBand="1" w:val="04A0"/>
      </w:tblPr>
      <w:tblGrid>
        <w:gridCol w:w="2437"/>
        <w:gridCol w:w="2437"/>
        <w:gridCol w:w="2437"/>
        <w:gridCol w:w="2437"/>
      </w:tblGrid>
      <w:tr>
        <w:trPr>
          <w:tblHeader w:val="true"/>
        </w:trPr>
        <w:tc>
          <w:tcPr>
            <w:tcW w:type="dxa" w:w="2437"/>
            <w:shd w:fill="D9E7EE"/>
          </w:tcPr>
          <w:p>
            <w:r>
              <w:t>Tool</w:t>
            </w:r>
          </w:p>
        </w:tc>
        <w:tc>
          <w:tcPr>
            <w:tcW w:type="dxa" w:w="2437"/>
            <w:shd w:fill="D9E7EE"/>
          </w:tcPr>
          <w:p>
            <w:r>
              <w:t>Function</w:t>
            </w:r>
          </w:p>
        </w:tc>
        <w:tc>
          <w:tcPr>
            <w:tcW w:type="dxa" w:w="2437"/>
            <w:shd w:fill="D9E7EE"/>
          </w:tcPr>
          <w:p>
            <w:r>
              <w:t>What is verified</w:t>
            </w:r>
          </w:p>
        </w:tc>
        <w:tc>
          <w:tcPr>
            <w:tcW w:type="dxa" w:w="2437"/>
            <w:shd w:fill="D9E7EE"/>
          </w:tcPr>
          <w:p>
            <w:r>
              <w:t>Limit</w:t>
            </w:r>
          </w:p>
        </w:tc>
      </w:tr>
      <w:tr>
        <w:tc>
          <w:tcPr>
            <w:tcW w:type="dxa" w:w="2437"/>
            <w:tcMar>
              <w:top w:w="70" w:type="dxa"/>
              <w:start w:w="70" w:type="dxa"/>
              <w:bottom w:w="70" w:type="dxa"/>
              <w:end w:w="70" w:type="dxa"/>
            </w:tcMar>
          </w:tcPr>
          <w:p>
            <w:r>
              <w:t>PITON+</w:t>
            </w:r>
          </w:p>
        </w:tc>
        <w:tc>
          <w:tcPr>
            <w:tcW w:type="dxa" w:w="2437"/>
            <w:tcMar>
              <w:top w:w="70" w:type="dxa"/>
              <w:start w:w="70" w:type="dxa"/>
              <w:bottom w:w="70" w:type="dxa"/>
              <w:end w:w="70" w:type="dxa"/>
            </w:tcMar>
          </w:tcPr>
          <w:p>
            <w:r>
              <w:t>Fractal falsification / micro-law detection</w:t>
            </w:r>
          </w:p>
        </w:tc>
        <w:tc>
          <w:tcPr>
            <w:tcW w:type="dxa" w:w="2437"/>
            <w:tcMar>
              <w:top w:w="70" w:type="dxa"/>
              <w:start w:w="70" w:type="dxa"/>
              <w:bottom w:w="70" w:type="dxa"/>
              <w:end w:w="70" w:type="dxa"/>
            </w:tcMar>
          </w:tcPr>
          <w:p>
            <w:r>
              <w:t>Samples vectors (β,ΔΦ,T,σ), computes S, classifies threshold states, extracts statistical micro-laws.</w:t>
            </w:r>
          </w:p>
        </w:tc>
        <w:tc>
          <w:tcPr>
            <w:tcW w:type="dxa" w:w="2437"/>
            <w:tcMar>
              <w:top w:w="70" w:type="dxa"/>
              <w:start w:w="70" w:type="dxa"/>
              <w:bottom w:w="70" w:type="dxa"/>
              <w:end w:w="70" w:type="dxa"/>
            </w:tcMar>
          </w:tcPr>
          <w:p>
            <w:r>
              <w:t>Does not enumerate all symbolic forms.</w:t>
            </w:r>
          </w:p>
        </w:tc>
      </w:tr>
      <w:tr>
        <w:tc>
          <w:tcPr>
            <w:tcW w:type="dxa" w:w="2437"/>
            <w:tcMar>
              <w:top w:w="70" w:type="dxa"/>
              <w:start w:w="70" w:type="dxa"/>
              <w:bottom w:w="70" w:type="dxa"/>
              <w:end w:w="70" w:type="dxa"/>
            </w:tcMar>
          </w:tcPr>
          <w:p>
            <w:r>
              <w:t>ΔVARIANT_ENGINE Ω8</w:t>
            </w:r>
          </w:p>
        </w:tc>
        <w:tc>
          <w:tcPr>
            <w:tcW w:type="dxa" w:w="2437"/>
            <w:tcMar>
              <w:top w:w="70" w:type="dxa"/>
              <w:start w:w="70" w:type="dxa"/>
              <w:bottom w:w="70" w:type="dxa"/>
              <w:end w:w="70" w:type="dxa"/>
            </w:tcMar>
          </w:tcPr>
          <w:p>
            <w:r>
              <w:t>Algebraic variant generation</w:t>
            </w:r>
          </w:p>
        </w:tc>
        <w:tc>
          <w:tcPr>
            <w:tcW w:type="dxa" w:w="2437"/>
            <w:tcMar>
              <w:top w:w="70" w:type="dxa"/>
              <w:start w:w="70" w:type="dxa"/>
              <w:bottom w:w="70" w:type="dxa"/>
              <w:end w:w="70" w:type="dxa"/>
            </w:tcMar>
          </w:tcPr>
          <w:p>
            <w:r>
              <w:t>Public implementation contains a fixed manifest of 20 rearrangements/inequalities.</w:t>
            </w:r>
          </w:p>
        </w:tc>
        <w:tc>
          <w:tcPr>
            <w:tcW w:type="dxa" w:w="2437"/>
            <w:tcMar>
              <w:top w:w="70" w:type="dxa"/>
              <w:start w:w="70" w:type="dxa"/>
              <w:bottom w:w="70" w:type="dxa"/>
              <w:end w:w="70" w:type="dxa"/>
            </w:tcMar>
          </w:tcPr>
          <w:p>
            <w:r>
              <w:t>Its own paper describes fuller CAS/SymPy generation as a future extension.</w:t>
            </w:r>
          </w:p>
        </w:tc>
      </w:tr>
      <w:tr>
        <w:tc>
          <w:tcPr>
            <w:tcW w:type="dxa" w:w="2437"/>
            <w:tcMar>
              <w:top w:w="70" w:type="dxa"/>
              <w:start w:w="70" w:type="dxa"/>
              <w:bottom w:w="70" w:type="dxa"/>
              <w:end w:w="70" w:type="dxa"/>
            </w:tcMar>
          </w:tcPr>
          <w:p>
            <w:r>
              <w:t>UNIVERSAL_LAW_ENGINE Ω7.1</w:t>
            </w:r>
          </w:p>
        </w:tc>
        <w:tc>
          <w:tcPr>
            <w:tcW w:type="dxa" w:w="2437"/>
            <w:tcMar>
              <w:top w:w="70" w:type="dxa"/>
              <w:start w:w="70" w:type="dxa"/>
              <w:bottom w:w="70" w:type="dxa"/>
              <w:end w:w="70" w:type="dxa"/>
            </w:tcMar>
          </w:tcPr>
          <w:p>
            <w:r>
              <w:t>Normalization, comparison, reformulation, domain transfer</w:t>
            </w:r>
          </w:p>
        </w:tc>
        <w:tc>
          <w:tcPr>
            <w:tcW w:type="dxa" w:w="2437"/>
            <w:tcMar>
              <w:top w:w="70" w:type="dxa"/>
              <w:start w:w="70" w:type="dxa"/>
              <w:bottom w:w="70" w:type="dxa"/>
              <w:end w:w="70" w:type="dxa"/>
            </w:tcMar>
          </w:tcPr>
          <w:p>
            <w:r>
              <w:t>Schema explicitly includes symbolic, dimensional, limit and duality comparisons, canonical forms, generated equations.</w:t>
            </w:r>
          </w:p>
        </w:tc>
        <w:tc>
          <w:tcPr>
            <w:tcW w:type="dxa" w:w="2437"/>
            <w:tcMar>
              <w:top w:w="70" w:type="dxa"/>
              <w:start w:w="70" w:type="dxa"/>
              <w:bottom w:w="70" w:type="dxa"/>
              <w:end w:w="70" w:type="dxa"/>
            </w:tcMar>
          </w:tcPr>
          <w:p>
            <w:r>
              <w:t>Schema capability is not proof that all mathematically possible forms were generated and archived.</w:t>
            </w:r>
          </w:p>
        </w:tc>
      </w:tr>
      <w:tr>
        <w:tc>
          <w:tcPr>
            <w:tcW w:type="dxa" w:w="2437"/>
            <w:tcMar>
              <w:top w:w="70" w:type="dxa"/>
              <w:start w:w="70" w:type="dxa"/>
              <w:bottom w:w="70" w:type="dxa"/>
              <w:end w:w="70" w:type="dxa"/>
            </w:tcMar>
          </w:tcPr>
          <w:p>
            <w:r>
              <w:t>Canonical family 17537450</w:t>
            </w:r>
          </w:p>
        </w:tc>
        <w:tc>
          <w:tcPr>
            <w:tcW w:type="dxa" w:w="2437"/>
            <w:tcMar>
              <w:top w:w="70" w:type="dxa"/>
              <w:start w:w="70" w:type="dxa"/>
              <w:bottom w:w="70" w:type="dxa"/>
              <w:end w:w="70" w:type="dxa"/>
            </w:tcMar>
          </w:tcPr>
          <w:p>
            <w:r>
              <w:t>Legacy atlas of 160 declared forms</w:t>
            </w:r>
          </w:p>
        </w:tc>
        <w:tc>
          <w:tcPr>
            <w:tcW w:type="dxa" w:w="2437"/>
            <w:tcMar>
              <w:top w:w="70" w:type="dxa"/>
              <w:start w:w="70" w:type="dxa"/>
              <w:bottom w:w="70" w:type="dxa"/>
              <w:end w:w="70" w:type="dxa"/>
            </w:tcMar>
          </w:tcPr>
          <w:p>
            <w:r>
              <w:t>Covers scalar, logarithmic, differential, vector/matrix, informational, proxy, constraint, and transform families.</w:t>
            </w:r>
          </w:p>
        </w:tc>
        <w:tc>
          <w:tcPr>
            <w:tcW w:type="dxa" w:w="2437"/>
            <w:tcMar>
              <w:top w:w="70" w:type="dxa"/>
              <w:start w:w="70" w:type="dxa"/>
              <w:bottom w:w="70" w:type="dxa"/>
              <w:end w:w="70" w:type="dxa"/>
            </w:tcMar>
          </w:tcPr>
          <w:p>
            <w:r>
              <w:t>132 expressions visible in current artefact; Z-092…Z-119 absent from that file.</w:t>
            </w:r>
          </w:p>
        </w:tc>
      </w:tr>
    </w:tbl>
    <w:p>
      <w:pPr>
        <w:pStyle w:val="Heading1"/>
        <w:keepNext/>
        <w:keepLines/>
      </w:pPr>
      <w:r>
        <w:t>6. Priority logic for the final paper</w:t>
      </w:r>
    </w:p>
    <w:p>
      <w:r>
        <w:t>The final White Paper will use four separate priority statements, never a single “first discovery of coherence” claim:</w:t>
      </w:r>
    </w:p>
    <w:p>
      <w:pPr>
        <w:pStyle w:val="ListBullet"/>
      </w:pPr>
      <w:r>
        <w:t>Priority of a mathematical object (for example, quantum correlation coherence or viability under constraints).</w:t>
      </w:r>
    </w:p>
    <w:p>
      <w:pPr>
        <w:pStyle w:val="ListBullet"/>
      </w:pPr>
      <w:r>
        <w:t>Priority of a cross-domain generalization.</w:t>
      </w:r>
    </w:p>
    <w:p>
      <w:pPr>
        <w:pStyle w:val="ListBullet"/>
      </w:pPr>
      <w:r>
        <w:t>Priority of a specific canonical equation or operator.</w:t>
      </w:r>
    </w:p>
    <w:p>
      <w:pPr>
        <w:pStyle w:val="ListBullet"/>
      </w:pPr>
      <w:r>
        <w:t>Priority of an assembled research architecture (measurement + frames + time + falsification + executable system).</w:t>
      </w:r>
    </w:p>
    <w:p>
      <w:r>
        <w:rPr>
          <w:b/>
        </w:rPr>
        <w:t xml:space="preserve">Working rule. </w:t>
      </w:r>
      <w:r>
        <w:t>A later author can make a genuine contribution even when a broader idea is older. Conversely, an earlier broad idea does not automatically anticipate a later equation. The paper will credit both levels.</w:t>
      </w:r>
    </w:p>
    <w:p>
      <w:pPr>
        <w:pStyle w:val="Heading1"/>
        <w:keepNext/>
        <w:keepLines/>
      </w:pPr>
      <w:r>
        <w:t>7. Pass-1 assessment of the field</w:t>
      </w:r>
    </w:p>
    <w:p>
      <w:r>
        <w:rPr>
          <w:b/>
        </w:rPr>
        <w:t xml:space="preserve">CURRENT INVENTORY — </w:t>
      </w:r>
      <w:r>
        <w:t>25 candidate lineages/programmes are now in scope. This is not a count of 25 distinct universal laws.</w:t>
      </w:r>
    </w:p>
    <w:p>
      <w:r>
        <w:rPr>
          <w:b/>
        </w:rPr>
        <w:t xml:space="preserve">MATHEMATICAL SURFACE — </w:t>
      </w:r>
      <w:r>
        <w:t>22 of the 25 currently contain an explicit equation, operator, inequality, kernel, dynamical system, constraint formalism, or quantitative hierarchy suitable for direct comparison. Three are retained mainly as conceptual/lexical anchors.</w:t>
      </w:r>
    </w:p>
    <w:p>
      <w:r>
        <w:rPr>
          <w:b/>
        </w:rPr>
        <w:t xml:space="preserve">ZORAN POSITION — </w:t>
      </w:r>
      <w:r>
        <w:t>The strongest potentially distinctive Zoran contribution is not the existence of coherence as such, but the attempted assembly of a cross-domain admissibility hypothesis, a multi-operand gauge, multi-frame evaluation, temporal debt/trajectory analysis, falsification engines, and a deterministic AI architecture. Each part must still be attributed against prior art individually.</w:t>
      </w:r>
    </w:p>
    <w:p>
      <w:r>
        <w:rPr>
          <w:b/>
        </w:rPr>
        <w:t xml:space="preserve">COLLECTIVE HYPOTHESIS — </w:t>
      </w:r>
      <w:r>
        <w:t>A scientifically useful working hypothesis is that several fields may have independently formalized different projections of a broader family linking coherence, admissibility, persistence, constraints, and dynamics. The hypothesis is not asserted as established fact.</w:t>
      </w:r>
    </w:p>
    <w:p>
      <w:pPr>
        <w:pStyle w:val="Heading1"/>
        <w:keepNext/>
        <w:keepLines/>
      </w:pPr>
      <w:r>
        <w:t>8. Pass-1 open work — status after Pass 2/10</w:t>
      </w:r>
    </w:p>
    <w:p>
      <w:pPr>
        <w:pStyle w:val="ListBullet"/>
      </w:pPr>
      <w:r>
        <w:t>Extract the exact primary equations from Hensgen, Hu &amp; Fan, Yang et al., Martirosyan et al., Bellori, and any candidate currently marked FORMULA PENDING.</w:t>
      </w:r>
    </w:p>
    <w:p>
      <w:pPr>
        <w:pStyle w:val="ListBullet"/>
      </w:pPr>
      <w:r>
        <w:t>Normalize symbols and dimensions without changing semantics.</w:t>
      </w:r>
    </w:p>
    <w:p>
      <w:pPr>
        <w:pStyle w:val="ListBullet"/>
      </w:pPr>
      <w:r>
        <w:t>Build the first equation-to-equation transformation matrix (E0–E6).</w:t>
      </w:r>
    </w:p>
    <w:p>
      <w:pPr>
        <w:pStyle w:val="ListBullet"/>
      </w:pPr>
      <w:r>
        <w:t>Attempt a formal closure test for Paton reachability against pre-20-Feb-2026 Zoran trajectories.</w:t>
      </w:r>
    </w:p>
    <w:p>
      <w:pPr>
        <w:pStyle w:val="ListBullet"/>
      </w:pPr>
      <w:r>
        <w:t>Recover Z-092…Z-119 from another archive, generator output, or manifest; otherwise certify them as missing from the public artefact.</w:t>
      </w:r>
    </w:p>
    <w:p>
      <w:pPr>
        <w:pStyle w:val="ListBullet"/>
      </w:pPr>
      <w:r>
        <w:t>Separate DOI-backed priority from non-DOI web/archive priority, especially for the June-2025 UCP paper.</w:t>
      </w:r>
    </w:p>
    <w:p>
      <w:pPr>
        <w:sectPr>
          <w:headerReference w:type="default" r:id="rId12"/>
          <w:pgSz w:w="11909" w:h="16834"/>
          <w:pgMar w:top="1008" w:right="1080" w:bottom="936" w:left="1080" w:header="720" w:footer="720" w:gutter="0"/>
          <w:cols w:space="720"/>
          <w:docGrid w:linePitch="360"/>
        </w:sectPr>
      </w:pPr>
    </w:p>
    <w:p>
      <w:pPr>
        <w:pStyle w:val="Heading1"/>
        <w:keepNext/>
        <w:keepLines/>
      </w:pPr>
      <w:r>
        <w:t>Appendix A — 132 explicitly visible legacy Zoran forms</w:t>
      </w:r>
    </w:p>
    <w:p>
      <w:r>
        <w:t>These expressions are transcribed from the base Word / public legacy artefact. Their historical class label is translated, not reinterpreted. The final paper will reclassify each row under E0–E6 after symbolic audit. Z-092 to Z-119 remain a documentary gap.</w:t>
      </w:r>
    </w:p>
    <w:tbl>
      <w:tblPr>
        <w:tblStyle w:val="TableGrid"/>
        <w:tblW w:type="auto" w:w="0"/>
        <w:jc w:val="center"/>
        <w:tblLook w:firstColumn="1" w:firstRow="1" w:lastColumn="0" w:lastRow="0" w:noHBand="0" w:noVBand="1" w:val="04A0"/>
      </w:tblPr>
      <w:tblGrid>
        <w:gridCol w:w="5035"/>
        <w:gridCol w:w="5035"/>
        <w:gridCol w:w="5035"/>
      </w:tblGrid>
      <w:tr>
        <w:trPr>
          <w:tblHeader w:val="true"/>
        </w:trPr>
        <w:tc>
          <w:tcPr>
            <w:tcW w:type="dxa" w:w="1152"/>
            <w:shd w:fill="CFE0E8"/>
          </w:tcPr>
          <w:p>
            <w:r>
              <w:t>ID</w:t>
            </w:r>
          </w:p>
        </w:tc>
        <w:tc>
          <w:tcPr>
            <w:tcW w:type="dxa" w:w="10656"/>
            <w:shd w:fill="CFE0E8"/>
          </w:tcPr>
          <w:p>
            <w:r>
              <w:t>Expression</w:t>
            </w:r>
          </w:p>
        </w:tc>
        <w:tc>
          <w:tcPr>
            <w:tcW w:type="dxa" w:w="2880"/>
            <w:shd w:fill="CFE0E8"/>
          </w:tcPr>
          <w:p>
            <w:r>
              <w:t>Legacy class</w:t>
            </w:r>
          </w:p>
        </w:tc>
      </w:tr>
      <w:tr>
        <w:tc>
          <w:tcPr>
            <w:tcW w:type="dxa" w:w="5035"/>
            <w:tcMar>
              <w:top w:w="22" w:type="dxa"/>
              <w:start w:w="35" w:type="dxa"/>
              <w:bottom w:w="22" w:type="dxa"/>
              <w:end w:w="35" w:type="dxa"/>
            </w:tcMar>
            <w:vAlign w:val="center"/>
          </w:tcPr>
          <w:p>
            <w:r>
              <w:rPr>
                <w:rFonts w:ascii="Cambria" w:hAnsi="Cambria"/>
                <w:sz w:val="14"/>
              </w:rPr>
              <w:t>Z-001</w:t>
            </w:r>
          </w:p>
        </w:tc>
        <w:tc>
          <w:tcPr>
            <w:tcW w:type="dxa" w:w="5035"/>
            <w:tcMar>
              <w:top w:w="22" w:type="dxa"/>
              <w:start w:w="35" w:type="dxa"/>
              <w:bottom w:w="22" w:type="dxa"/>
              <w:end w:w="35" w:type="dxa"/>
            </w:tcMar>
            <w:vAlign w:val="center"/>
          </w:tcPr>
          <w:p>
            <w:r>
              <w:rPr>
                <w:rFonts w:ascii="Cambria Math" w:hAnsi="Cambria Math"/>
                <w:sz w:val="14"/>
              </w:rPr>
              <w:t>S = (β·ΔCₑ)/λ</w:t>
            </w:r>
          </w:p>
        </w:tc>
        <w:tc>
          <w:tcPr>
            <w:tcW w:type="dxa" w:w="5035"/>
            <w:tcMar>
              <w:top w:w="22" w:type="dxa"/>
              <w:start w:w="35" w:type="dxa"/>
              <w:bottom w:w="22" w:type="dxa"/>
              <w:end w:w="35" w:type="dxa"/>
            </w:tcMar>
            <w:vAlign w:val="center"/>
          </w:tcPr>
          <w:p>
            <w:r>
              <w:rPr>
                <w:rFonts w:ascii="Cambria" w:hAnsi="Cambria"/>
                <w:sz w:val="14"/>
              </w:rPr>
              <w:t>Canonical / symbolic</w:t>
            </w:r>
          </w:p>
        </w:tc>
      </w:tr>
      <w:tr>
        <w:tc>
          <w:tcPr>
            <w:tcW w:type="dxa" w:w="5035"/>
            <w:tcMar>
              <w:top w:w="22" w:type="dxa"/>
              <w:start w:w="35" w:type="dxa"/>
              <w:bottom w:w="22" w:type="dxa"/>
              <w:end w:w="35" w:type="dxa"/>
            </w:tcMar>
            <w:vAlign w:val="center"/>
          </w:tcPr>
          <w:p>
            <w:r>
              <w:rPr>
                <w:rFonts w:ascii="Cambria" w:hAnsi="Cambria"/>
                <w:sz w:val="14"/>
              </w:rPr>
              <w:t>Z-002</w:t>
            </w:r>
          </w:p>
        </w:tc>
        <w:tc>
          <w:tcPr>
            <w:tcW w:type="dxa" w:w="5035"/>
            <w:tcMar>
              <w:top w:w="22" w:type="dxa"/>
              <w:start w:w="35" w:type="dxa"/>
              <w:bottom w:w="22" w:type="dxa"/>
              <w:end w:w="35" w:type="dxa"/>
            </w:tcMar>
            <w:vAlign w:val="center"/>
          </w:tcPr>
          <w:p>
            <w:r>
              <w:rPr>
                <w:rFonts w:ascii="Cambria Math" w:hAnsi="Cambria Math"/>
                <w:sz w:val="14"/>
              </w:rPr>
              <w:t>Q = (I·ΔS)/E</w:t>
            </w:r>
          </w:p>
        </w:tc>
        <w:tc>
          <w:tcPr>
            <w:tcW w:type="dxa" w:w="5035"/>
            <w:tcMar>
              <w:top w:w="22" w:type="dxa"/>
              <w:start w:w="35" w:type="dxa"/>
              <w:bottom w:w="22" w:type="dxa"/>
              <w:end w:w="35" w:type="dxa"/>
            </w:tcMar>
            <w:vAlign w:val="center"/>
          </w:tcPr>
          <w:p>
            <w:r>
              <w:rPr>
                <w:rFonts w:ascii="Cambria" w:hAnsi="Cambria"/>
                <w:sz w:val="14"/>
              </w:rPr>
              <w:t>Canonical / symbolic</w:t>
            </w:r>
          </w:p>
        </w:tc>
      </w:tr>
      <w:tr>
        <w:tc>
          <w:tcPr>
            <w:tcW w:type="dxa" w:w="5035"/>
            <w:tcMar>
              <w:top w:w="22" w:type="dxa"/>
              <w:start w:w="35" w:type="dxa"/>
              <w:bottom w:w="22" w:type="dxa"/>
              <w:end w:w="35" w:type="dxa"/>
            </w:tcMar>
            <w:vAlign w:val="center"/>
          </w:tcPr>
          <w:p>
            <w:r>
              <w:rPr>
                <w:rFonts w:ascii="Cambria" w:hAnsi="Cambria"/>
                <w:sz w:val="14"/>
              </w:rPr>
              <w:t>Z-003</w:t>
            </w:r>
          </w:p>
        </w:tc>
        <w:tc>
          <w:tcPr>
            <w:tcW w:type="dxa" w:w="5035"/>
            <w:tcMar>
              <w:top w:w="22" w:type="dxa"/>
              <w:start w:w="35" w:type="dxa"/>
              <w:bottom w:w="22" w:type="dxa"/>
              <w:end w:w="35" w:type="dxa"/>
            </w:tcMar>
            <w:vAlign w:val="center"/>
          </w:tcPr>
          <w:p>
            <w:r>
              <w:rPr>
                <w:rFonts w:ascii="Cambria Math" w:hAnsi="Cambria Math"/>
                <w:sz w:val="14"/>
              </w:rPr>
              <w:t>Ψ = (α·ΔΩ)/ξ</w:t>
            </w:r>
          </w:p>
        </w:tc>
        <w:tc>
          <w:tcPr>
            <w:tcW w:type="dxa" w:w="5035"/>
            <w:tcMar>
              <w:top w:w="22" w:type="dxa"/>
              <w:start w:w="35" w:type="dxa"/>
              <w:bottom w:w="22" w:type="dxa"/>
              <w:end w:w="35" w:type="dxa"/>
            </w:tcMar>
            <w:vAlign w:val="center"/>
          </w:tcPr>
          <w:p>
            <w:r>
              <w:rPr>
                <w:rFonts w:ascii="Cambria" w:hAnsi="Cambria"/>
                <w:sz w:val="14"/>
              </w:rPr>
              <w:t>Canonical / symbolic</w:t>
            </w:r>
          </w:p>
        </w:tc>
      </w:tr>
      <w:tr>
        <w:tc>
          <w:tcPr>
            <w:tcW w:type="dxa" w:w="5035"/>
            <w:tcMar>
              <w:top w:w="22" w:type="dxa"/>
              <w:start w:w="35" w:type="dxa"/>
              <w:bottom w:w="22" w:type="dxa"/>
              <w:end w:w="35" w:type="dxa"/>
            </w:tcMar>
            <w:vAlign w:val="center"/>
          </w:tcPr>
          <w:p>
            <w:r>
              <w:rPr>
                <w:rFonts w:ascii="Cambria" w:hAnsi="Cambria"/>
                <w:sz w:val="14"/>
              </w:rPr>
              <w:t>Z-004</w:t>
            </w:r>
          </w:p>
        </w:tc>
        <w:tc>
          <w:tcPr>
            <w:tcW w:type="dxa" w:w="5035"/>
            <w:tcMar>
              <w:top w:w="22" w:type="dxa"/>
              <w:start w:w="35" w:type="dxa"/>
              <w:bottom w:w="22" w:type="dxa"/>
              <w:end w:w="35" w:type="dxa"/>
            </w:tcMar>
            <w:vAlign w:val="center"/>
          </w:tcPr>
          <w:p>
            <w:r>
              <w:rPr>
                <w:rFonts w:ascii="Cambria Math" w:hAnsi="Cambria Math"/>
                <w:sz w:val="14"/>
              </w:rPr>
              <w:t>K = (P·ΔC)/N</w:t>
            </w:r>
          </w:p>
        </w:tc>
        <w:tc>
          <w:tcPr>
            <w:tcW w:type="dxa" w:w="5035"/>
            <w:tcMar>
              <w:top w:w="22" w:type="dxa"/>
              <w:start w:w="35" w:type="dxa"/>
              <w:bottom w:w="22" w:type="dxa"/>
              <w:end w:w="35" w:type="dxa"/>
            </w:tcMar>
            <w:vAlign w:val="center"/>
          </w:tcPr>
          <w:p>
            <w:r>
              <w:rPr>
                <w:rFonts w:ascii="Cambria" w:hAnsi="Cambria"/>
                <w:sz w:val="14"/>
              </w:rPr>
              <w:t>Canonical / symbolic</w:t>
            </w:r>
          </w:p>
        </w:tc>
      </w:tr>
      <w:tr>
        <w:tc>
          <w:tcPr>
            <w:tcW w:type="dxa" w:w="5035"/>
            <w:tcMar>
              <w:top w:w="22" w:type="dxa"/>
              <w:start w:w="35" w:type="dxa"/>
              <w:bottom w:w="22" w:type="dxa"/>
              <w:end w:w="35" w:type="dxa"/>
            </w:tcMar>
            <w:vAlign w:val="center"/>
          </w:tcPr>
          <w:p>
            <w:r>
              <w:rPr>
                <w:rFonts w:ascii="Cambria" w:hAnsi="Cambria"/>
                <w:sz w:val="14"/>
              </w:rPr>
              <w:t>Z-005</w:t>
            </w:r>
          </w:p>
        </w:tc>
        <w:tc>
          <w:tcPr>
            <w:tcW w:type="dxa" w:w="5035"/>
            <w:tcMar>
              <w:top w:w="22" w:type="dxa"/>
              <w:start w:w="35" w:type="dxa"/>
              <w:bottom w:w="22" w:type="dxa"/>
              <w:end w:w="35" w:type="dxa"/>
            </w:tcMar>
            <w:vAlign w:val="center"/>
          </w:tcPr>
          <w:p>
            <w:r>
              <w:rPr>
                <w:rFonts w:ascii="Cambria Math" w:hAnsi="Cambria Math"/>
                <w:sz w:val="14"/>
              </w:rPr>
              <w:t>R = (β·ΔC)/λ</w:t>
            </w:r>
          </w:p>
        </w:tc>
        <w:tc>
          <w:tcPr>
            <w:tcW w:type="dxa" w:w="5035"/>
            <w:tcMar>
              <w:top w:w="22" w:type="dxa"/>
              <w:start w:w="35" w:type="dxa"/>
              <w:bottom w:w="22" w:type="dxa"/>
              <w:end w:w="35" w:type="dxa"/>
            </w:tcMar>
            <w:vAlign w:val="center"/>
          </w:tcPr>
          <w:p>
            <w:r>
              <w:rPr>
                <w:rFonts w:ascii="Cambria" w:hAnsi="Cambria"/>
                <w:sz w:val="14"/>
              </w:rPr>
              <w:t>Canonical / symbolic</w:t>
            </w:r>
          </w:p>
        </w:tc>
      </w:tr>
      <w:tr>
        <w:tc>
          <w:tcPr>
            <w:tcW w:type="dxa" w:w="5035"/>
            <w:tcMar>
              <w:top w:w="22" w:type="dxa"/>
              <w:start w:w="35" w:type="dxa"/>
              <w:bottom w:w="22" w:type="dxa"/>
              <w:end w:w="35" w:type="dxa"/>
            </w:tcMar>
            <w:vAlign w:val="center"/>
          </w:tcPr>
          <w:p>
            <w:r>
              <w:rPr>
                <w:rFonts w:ascii="Cambria" w:hAnsi="Cambria"/>
                <w:sz w:val="14"/>
              </w:rPr>
              <w:t>Z-006</w:t>
            </w:r>
          </w:p>
        </w:tc>
        <w:tc>
          <w:tcPr>
            <w:tcW w:type="dxa" w:w="5035"/>
            <w:tcMar>
              <w:top w:w="22" w:type="dxa"/>
              <w:start w:w="35" w:type="dxa"/>
              <w:bottom w:w="22" w:type="dxa"/>
              <w:end w:w="35" w:type="dxa"/>
            </w:tcMar>
            <w:vAlign w:val="center"/>
          </w:tcPr>
          <w:p>
            <w:r>
              <w:rPr>
                <w:rFonts w:ascii="Cambria Math" w:hAnsi="Cambria Math"/>
                <w:sz w:val="14"/>
              </w:rPr>
              <w:t>S′ = k·β·(ΔCₑ/λ)</w:t>
            </w:r>
          </w:p>
        </w:tc>
        <w:tc>
          <w:tcPr>
            <w:tcW w:type="dxa" w:w="5035"/>
            <w:tcMar>
              <w:top w:w="22" w:type="dxa"/>
              <w:start w:w="35" w:type="dxa"/>
              <w:bottom w:w="22" w:type="dxa"/>
              <w:end w:w="35" w:type="dxa"/>
            </w:tcMar>
            <w:vAlign w:val="center"/>
          </w:tcPr>
          <w:p>
            <w:r>
              <w:rPr>
                <w:rFonts w:ascii="Cambria" w:hAnsi="Cambria"/>
                <w:sz w:val="14"/>
              </w:rPr>
              <w:t>Canonical / symbolic</w:t>
            </w:r>
          </w:p>
        </w:tc>
      </w:tr>
      <w:tr>
        <w:tc>
          <w:tcPr>
            <w:tcW w:type="dxa" w:w="5035"/>
            <w:tcMar>
              <w:top w:w="22" w:type="dxa"/>
              <w:start w:w="35" w:type="dxa"/>
              <w:bottom w:w="22" w:type="dxa"/>
              <w:end w:w="35" w:type="dxa"/>
            </w:tcMar>
            <w:vAlign w:val="center"/>
          </w:tcPr>
          <w:p>
            <w:r>
              <w:rPr>
                <w:rFonts w:ascii="Cambria" w:hAnsi="Cambria"/>
                <w:sz w:val="14"/>
              </w:rPr>
              <w:t>Z-007</w:t>
            </w:r>
          </w:p>
        </w:tc>
        <w:tc>
          <w:tcPr>
            <w:tcW w:type="dxa" w:w="5035"/>
            <w:tcMar>
              <w:top w:w="22" w:type="dxa"/>
              <w:start w:w="35" w:type="dxa"/>
              <w:bottom w:w="22" w:type="dxa"/>
              <w:end w:w="35" w:type="dxa"/>
            </w:tcMar>
            <w:vAlign w:val="center"/>
          </w:tcPr>
          <w:p>
            <w:r>
              <w:rPr>
                <w:rFonts w:ascii="Cambria Math" w:hAnsi="Cambria Math"/>
                <w:sz w:val="14"/>
              </w:rPr>
              <w:t>S = (β·ΔCₑ)/(λ + δ)</w:t>
            </w:r>
          </w:p>
        </w:tc>
        <w:tc>
          <w:tcPr>
            <w:tcW w:type="dxa" w:w="5035"/>
            <w:tcMar>
              <w:top w:w="22" w:type="dxa"/>
              <w:start w:w="35" w:type="dxa"/>
              <w:bottom w:w="22" w:type="dxa"/>
              <w:end w:w="35" w:type="dxa"/>
            </w:tcMar>
            <w:vAlign w:val="center"/>
          </w:tcPr>
          <w:p>
            <w:r>
              <w:rPr>
                <w:rFonts w:ascii="Cambria" w:hAnsi="Cambria"/>
                <w:sz w:val="14"/>
              </w:rPr>
              <w:t>Canonical / symbolic</w:t>
            </w:r>
          </w:p>
        </w:tc>
      </w:tr>
      <w:tr>
        <w:tc>
          <w:tcPr>
            <w:tcW w:type="dxa" w:w="5035"/>
            <w:tcMar>
              <w:top w:w="22" w:type="dxa"/>
              <w:start w:w="35" w:type="dxa"/>
              <w:bottom w:w="22" w:type="dxa"/>
              <w:end w:w="35" w:type="dxa"/>
            </w:tcMar>
            <w:vAlign w:val="center"/>
          </w:tcPr>
          <w:p>
            <w:r>
              <w:rPr>
                <w:rFonts w:ascii="Cambria" w:hAnsi="Cambria"/>
                <w:sz w:val="14"/>
              </w:rPr>
              <w:t>Z-008</w:t>
            </w:r>
          </w:p>
        </w:tc>
        <w:tc>
          <w:tcPr>
            <w:tcW w:type="dxa" w:w="5035"/>
            <w:tcMar>
              <w:top w:w="22" w:type="dxa"/>
              <w:start w:w="35" w:type="dxa"/>
              <w:bottom w:w="22" w:type="dxa"/>
              <w:end w:w="35" w:type="dxa"/>
            </w:tcMar>
            <w:vAlign w:val="center"/>
          </w:tcPr>
          <w:p>
            <w:r>
              <w:rPr>
                <w:rFonts w:ascii="Cambria Math" w:hAnsi="Cambria Math"/>
                <w:sz w:val="14"/>
              </w:rPr>
              <w:t>S = (β + γ)·ΔCₑ/λ</w:t>
            </w:r>
          </w:p>
        </w:tc>
        <w:tc>
          <w:tcPr>
            <w:tcW w:type="dxa" w:w="5035"/>
            <w:tcMar>
              <w:top w:w="22" w:type="dxa"/>
              <w:start w:w="35" w:type="dxa"/>
              <w:bottom w:w="22" w:type="dxa"/>
              <w:end w:w="35" w:type="dxa"/>
            </w:tcMar>
            <w:vAlign w:val="center"/>
          </w:tcPr>
          <w:p>
            <w:r>
              <w:rPr>
                <w:rFonts w:ascii="Cambria" w:hAnsi="Cambria"/>
                <w:sz w:val="14"/>
              </w:rPr>
              <w:t>Canonical / symbolic</w:t>
            </w:r>
          </w:p>
        </w:tc>
      </w:tr>
      <w:tr>
        <w:tc>
          <w:tcPr>
            <w:tcW w:type="dxa" w:w="5035"/>
            <w:tcMar>
              <w:top w:w="22" w:type="dxa"/>
              <w:start w:w="35" w:type="dxa"/>
              <w:bottom w:w="22" w:type="dxa"/>
              <w:end w:w="35" w:type="dxa"/>
            </w:tcMar>
            <w:vAlign w:val="center"/>
          </w:tcPr>
          <w:p>
            <w:r>
              <w:rPr>
                <w:rFonts w:ascii="Cambria" w:hAnsi="Cambria"/>
                <w:sz w:val="14"/>
              </w:rPr>
              <w:t>Z-009</w:t>
            </w:r>
          </w:p>
        </w:tc>
        <w:tc>
          <w:tcPr>
            <w:tcW w:type="dxa" w:w="5035"/>
            <w:tcMar>
              <w:top w:w="22" w:type="dxa"/>
              <w:start w:w="35" w:type="dxa"/>
              <w:bottom w:w="22" w:type="dxa"/>
              <w:end w:w="35" w:type="dxa"/>
            </w:tcMar>
            <w:vAlign w:val="center"/>
          </w:tcPr>
          <w:p>
            <w:r>
              <w:rPr>
                <w:rFonts w:ascii="Cambria Math" w:hAnsi="Cambria Math"/>
                <w:sz w:val="14"/>
              </w:rPr>
              <w:t>S = β·(ΔCₑ + ΔC_mut)/λ</w:t>
            </w:r>
          </w:p>
        </w:tc>
        <w:tc>
          <w:tcPr>
            <w:tcW w:type="dxa" w:w="5035"/>
            <w:tcMar>
              <w:top w:w="22" w:type="dxa"/>
              <w:start w:w="35" w:type="dxa"/>
              <w:bottom w:w="22" w:type="dxa"/>
              <w:end w:w="35" w:type="dxa"/>
            </w:tcMar>
            <w:vAlign w:val="center"/>
          </w:tcPr>
          <w:p>
            <w:r>
              <w:rPr>
                <w:rFonts w:ascii="Cambria" w:hAnsi="Cambria"/>
                <w:sz w:val="14"/>
              </w:rPr>
              <w:t>Canonical / symbolic</w:t>
            </w:r>
          </w:p>
        </w:tc>
      </w:tr>
      <w:tr>
        <w:tc>
          <w:tcPr>
            <w:tcW w:type="dxa" w:w="5035"/>
            <w:tcMar>
              <w:top w:w="22" w:type="dxa"/>
              <w:start w:w="35" w:type="dxa"/>
              <w:bottom w:w="22" w:type="dxa"/>
              <w:end w:w="35" w:type="dxa"/>
            </w:tcMar>
            <w:vAlign w:val="center"/>
          </w:tcPr>
          <w:p>
            <w:r>
              <w:rPr>
                <w:rFonts w:ascii="Cambria" w:hAnsi="Cambria"/>
                <w:sz w:val="14"/>
              </w:rPr>
              <w:t>Z-010</w:t>
            </w:r>
          </w:p>
        </w:tc>
        <w:tc>
          <w:tcPr>
            <w:tcW w:type="dxa" w:w="5035"/>
            <w:tcMar>
              <w:top w:w="22" w:type="dxa"/>
              <w:start w:w="35" w:type="dxa"/>
              <w:bottom w:w="22" w:type="dxa"/>
              <w:end w:w="35" w:type="dxa"/>
            </w:tcMar>
            <w:vAlign w:val="center"/>
          </w:tcPr>
          <w:p>
            <w:r>
              <w:rPr>
                <w:rFonts w:ascii="Cambria Math" w:hAnsi="Cambria Math"/>
                <w:sz w:val="14"/>
              </w:rPr>
              <w:t>S = (β·ΔCₑ)/λ_syst</w:t>
            </w:r>
          </w:p>
        </w:tc>
        <w:tc>
          <w:tcPr>
            <w:tcW w:type="dxa" w:w="5035"/>
            <w:tcMar>
              <w:top w:w="22" w:type="dxa"/>
              <w:start w:w="35" w:type="dxa"/>
              <w:bottom w:w="22" w:type="dxa"/>
              <w:end w:w="35" w:type="dxa"/>
            </w:tcMar>
            <w:vAlign w:val="center"/>
          </w:tcPr>
          <w:p>
            <w:r>
              <w:rPr>
                <w:rFonts w:ascii="Cambria" w:hAnsi="Cambria"/>
                <w:sz w:val="14"/>
              </w:rPr>
              <w:t>Canonical / symbolic</w:t>
            </w:r>
          </w:p>
        </w:tc>
      </w:tr>
      <w:tr>
        <w:tc>
          <w:tcPr>
            <w:tcW w:type="dxa" w:w="5035"/>
            <w:tcMar>
              <w:top w:w="22" w:type="dxa"/>
              <w:start w:w="35" w:type="dxa"/>
              <w:bottom w:w="22" w:type="dxa"/>
              <w:end w:w="35" w:type="dxa"/>
            </w:tcMar>
            <w:vAlign w:val="center"/>
          </w:tcPr>
          <w:p>
            <w:r>
              <w:rPr>
                <w:rFonts w:ascii="Cambria" w:hAnsi="Cambria"/>
                <w:sz w:val="14"/>
              </w:rPr>
              <w:t>Z-011</w:t>
            </w:r>
          </w:p>
        </w:tc>
        <w:tc>
          <w:tcPr>
            <w:tcW w:type="dxa" w:w="5035"/>
            <w:tcMar>
              <w:top w:w="22" w:type="dxa"/>
              <w:start w:w="35" w:type="dxa"/>
              <w:bottom w:w="22" w:type="dxa"/>
              <w:end w:w="35" w:type="dxa"/>
            </w:tcMar>
            <w:vAlign w:val="center"/>
          </w:tcPr>
          <w:p>
            <w:r>
              <w:rPr>
                <w:rFonts w:ascii="Cambria Math" w:hAnsi="Cambria Math"/>
                <w:sz w:val="14"/>
              </w:rPr>
              <w:t>log S = log β + log ΔCₑ − log λ</w:t>
            </w:r>
          </w:p>
        </w:tc>
        <w:tc>
          <w:tcPr>
            <w:tcW w:type="dxa" w:w="5035"/>
            <w:tcMar>
              <w:top w:w="22" w:type="dxa"/>
              <w:start w:w="35" w:type="dxa"/>
              <w:bottom w:w="22" w:type="dxa"/>
              <w:end w:w="35" w:type="dxa"/>
            </w:tcMar>
            <w:vAlign w:val="center"/>
          </w:tcPr>
          <w:p>
            <w:r>
              <w:rPr>
                <w:rFonts w:ascii="Cambria" w:hAnsi="Cambria"/>
                <w:sz w:val="14"/>
              </w:rPr>
              <w:t>Logarithmic / differential</w:t>
            </w:r>
          </w:p>
        </w:tc>
      </w:tr>
      <w:tr>
        <w:tc>
          <w:tcPr>
            <w:tcW w:type="dxa" w:w="5035"/>
            <w:tcMar>
              <w:top w:w="22" w:type="dxa"/>
              <w:start w:w="35" w:type="dxa"/>
              <w:bottom w:w="22" w:type="dxa"/>
              <w:end w:w="35" w:type="dxa"/>
            </w:tcMar>
            <w:vAlign w:val="center"/>
          </w:tcPr>
          <w:p>
            <w:r>
              <w:rPr>
                <w:rFonts w:ascii="Cambria" w:hAnsi="Cambria"/>
                <w:sz w:val="14"/>
              </w:rPr>
              <w:t>Z-012</w:t>
            </w:r>
          </w:p>
        </w:tc>
        <w:tc>
          <w:tcPr>
            <w:tcW w:type="dxa" w:w="5035"/>
            <w:tcMar>
              <w:top w:w="22" w:type="dxa"/>
              <w:start w:w="35" w:type="dxa"/>
              <w:bottom w:w="22" w:type="dxa"/>
              <w:end w:w="35" w:type="dxa"/>
            </w:tcMar>
            <w:vAlign w:val="center"/>
          </w:tcPr>
          <w:p>
            <w:r>
              <w:rPr>
                <w:rFonts w:ascii="Cambria Math" w:hAnsi="Cambria Math"/>
                <w:sz w:val="14"/>
              </w:rPr>
              <w:t>ln S = ln(β·ΔCₑ) − ln λ</w:t>
            </w:r>
          </w:p>
        </w:tc>
        <w:tc>
          <w:tcPr>
            <w:tcW w:type="dxa" w:w="5035"/>
            <w:tcMar>
              <w:top w:w="22" w:type="dxa"/>
              <w:start w:w="35" w:type="dxa"/>
              <w:bottom w:w="22" w:type="dxa"/>
              <w:end w:w="35" w:type="dxa"/>
            </w:tcMar>
            <w:vAlign w:val="center"/>
          </w:tcPr>
          <w:p>
            <w:r>
              <w:rPr>
                <w:rFonts w:ascii="Cambria" w:hAnsi="Cambria"/>
                <w:sz w:val="14"/>
              </w:rPr>
              <w:t>Logarithmic / differential</w:t>
            </w:r>
          </w:p>
        </w:tc>
      </w:tr>
      <w:tr>
        <w:tc>
          <w:tcPr>
            <w:tcW w:type="dxa" w:w="5035"/>
            <w:tcMar>
              <w:top w:w="22" w:type="dxa"/>
              <w:start w:w="35" w:type="dxa"/>
              <w:bottom w:w="22" w:type="dxa"/>
              <w:end w:w="35" w:type="dxa"/>
            </w:tcMar>
            <w:vAlign w:val="center"/>
          </w:tcPr>
          <w:p>
            <w:r>
              <w:rPr>
                <w:rFonts w:ascii="Cambria" w:hAnsi="Cambria"/>
                <w:sz w:val="14"/>
              </w:rPr>
              <w:t>Z-013</w:t>
            </w:r>
          </w:p>
        </w:tc>
        <w:tc>
          <w:tcPr>
            <w:tcW w:type="dxa" w:w="5035"/>
            <w:tcMar>
              <w:top w:w="22" w:type="dxa"/>
              <w:start w:w="35" w:type="dxa"/>
              <w:bottom w:w="22" w:type="dxa"/>
              <w:end w:w="35" w:type="dxa"/>
            </w:tcMar>
            <w:vAlign w:val="center"/>
          </w:tcPr>
          <w:p>
            <w:r>
              <w:rPr>
                <w:rFonts w:ascii="Cambria Math" w:hAnsi="Cambria Math"/>
                <w:sz w:val="14"/>
              </w:rPr>
              <w:t>S = exp(log β + log ΔCₑ − log λ)</w:t>
            </w:r>
          </w:p>
        </w:tc>
        <w:tc>
          <w:tcPr>
            <w:tcW w:type="dxa" w:w="5035"/>
            <w:tcMar>
              <w:top w:w="22" w:type="dxa"/>
              <w:start w:w="35" w:type="dxa"/>
              <w:bottom w:w="22" w:type="dxa"/>
              <w:end w:w="35" w:type="dxa"/>
            </w:tcMar>
            <w:vAlign w:val="center"/>
          </w:tcPr>
          <w:p>
            <w:r>
              <w:rPr>
                <w:rFonts w:ascii="Cambria" w:hAnsi="Cambria"/>
                <w:sz w:val="14"/>
              </w:rPr>
              <w:t>Logarithmic / differential</w:t>
            </w:r>
          </w:p>
        </w:tc>
      </w:tr>
      <w:tr>
        <w:tc>
          <w:tcPr>
            <w:tcW w:type="dxa" w:w="5035"/>
            <w:tcMar>
              <w:top w:w="22" w:type="dxa"/>
              <w:start w:w="35" w:type="dxa"/>
              <w:bottom w:w="22" w:type="dxa"/>
              <w:end w:w="35" w:type="dxa"/>
            </w:tcMar>
            <w:vAlign w:val="center"/>
          </w:tcPr>
          <w:p>
            <w:r>
              <w:rPr>
                <w:rFonts w:ascii="Cambria" w:hAnsi="Cambria"/>
                <w:sz w:val="14"/>
              </w:rPr>
              <w:t>Z-014</w:t>
            </w:r>
          </w:p>
        </w:tc>
        <w:tc>
          <w:tcPr>
            <w:tcW w:type="dxa" w:w="5035"/>
            <w:tcMar>
              <w:top w:w="22" w:type="dxa"/>
              <w:start w:w="35" w:type="dxa"/>
              <w:bottom w:w="22" w:type="dxa"/>
              <w:end w:w="35" w:type="dxa"/>
            </w:tcMar>
            <w:vAlign w:val="center"/>
          </w:tcPr>
          <w:p>
            <w:r>
              <w:rPr>
                <w:rFonts w:ascii="Cambria Math" w:hAnsi="Cambria Math"/>
                <w:sz w:val="14"/>
              </w:rPr>
              <w:t>S ≈ a + b·(β·ΔCₑ/λ)</w:t>
            </w:r>
          </w:p>
        </w:tc>
        <w:tc>
          <w:tcPr>
            <w:tcW w:type="dxa" w:w="5035"/>
            <w:tcMar>
              <w:top w:w="22" w:type="dxa"/>
              <w:start w:w="35" w:type="dxa"/>
              <w:bottom w:w="22" w:type="dxa"/>
              <w:end w:w="35" w:type="dxa"/>
            </w:tcMar>
            <w:vAlign w:val="center"/>
          </w:tcPr>
          <w:p>
            <w:r>
              <w:rPr>
                <w:rFonts w:ascii="Cambria" w:hAnsi="Cambria"/>
                <w:sz w:val="14"/>
              </w:rPr>
              <w:t>Logarithmic / differential</w:t>
            </w:r>
          </w:p>
        </w:tc>
      </w:tr>
      <w:tr>
        <w:tc>
          <w:tcPr>
            <w:tcW w:type="dxa" w:w="5035"/>
            <w:tcMar>
              <w:top w:w="22" w:type="dxa"/>
              <w:start w:w="35" w:type="dxa"/>
              <w:bottom w:w="22" w:type="dxa"/>
              <w:end w:w="35" w:type="dxa"/>
            </w:tcMar>
            <w:vAlign w:val="center"/>
          </w:tcPr>
          <w:p>
            <w:r>
              <w:rPr>
                <w:rFonts w:ascii="Cambria" w:hAnsi="Cambria"/>
                <w:sz w:val="14"/>
              </w:rPr>
              <w:t>Z-015</w:t>
            </w:r>
          </w:p>
        </w:tc>
        <w:tc>
          <w:tcPr>
            <w:tcW w:type="dxa" w:w="5035"/>
            <w:tcMar>
              <w:top w:w="22" w:type="dxa"/>
              <w:start w:w="35" w:type="dxa"/>
              <w:bottom w:w="22" w:type="dxa"/>
              <w:end w:w="35" w:type="dxa"/>
            </w:tcMar>
            <w:vAlign w:val="center"/>
          </w:tcPr>
          <w:p>
            <w:r>
              <w:rPr>
                <w:rFonts w:ascii="Cambria Math" w:hAnsi="Cambria Math"/>
                <w:sz w:val="14"/>
              </w:rPr>
              <w:t>ΔS = β·Δ(ΔCₑ/λ)</w:t>
            </w:r>
          </w:p>
        </w:tc>
        <w:tc>
          <w:tcPr>
            <w:tcW w:type="dxa" w:w="5035"/>
            <w:tcMar>
              <w:top w:w="22" w:type="dxa"/>
              <w:start w:w="35" w:type="dxa"/>
              <w:bottom w:w="22" w:type="dxa"/>
              <w:end w:w="35" w:type="dxa"/>
            </w:tcMar>
            <w:vAlign w:val="center"/>
          </w:tcPr>
          <w:p>
            <w:r>
              <w:rPr>
                <w:rFonts w:ascii="Cambria" w:hAnsi="Cambria"/>
                <w:sz w:val="14"/>
              </w:rPr>
              <w:t>Logarithmic / differential</w:t>
            </w:r>
          </w:p>
        </w:tc>
      </w:tr>
      <w:tr>
        <w:tc>
          <w:tcPr>
            <w:tcW w:type="dxa" w:w="5035"/>
            <w:tcMar>
              <w:top w:w="22" w:type="dxa"/>
              <w:start w:w="35" w:type="dxa"/>
              <w:bottom w:w="22" w:type="dxa"/>
              <w:end w:w="35" w:type="dxa"/>
            </w:tcMar>
            <w:vAlign w:val="center"/>
          </w:tcPr>
          <w:p>
            <w:r>
              <w:rPr>
                <w:rFonts w:ascii="Cambria" w:hAnsi="Cambria"/>
                <w:sz w:val="14"/>
              </w:rPr>
              <w:t>Z-016</w:t>
            </w:r>
          </w:p>
        </w:tc>
        <w:tc>
          <w:tcPr>
            <w:tcW w:type="dxa" w:w="5035"/>
            <w:tcMar>
              <w:top w:w="22" w:type="dxa"/>
              <w:start w:w="35" w:type="dxa"/>
              <w:bottom w:w="22" w:type="dxa"/>
              <w:end w:w="35" w:type="dxa"/>
            </w:tcMar>
            <w:vAlign w:val="center"/>
          </w:tcPr>
          <w:p>
            <w:r>
              <w:rPr>
                <w:rFonts w:ascii="Cambria Math" w:hAnsi="Cambria Math"/>
                <w:sz w:val="14"/>
              </w:rPr>
              <w:t>dS = (ΔCₑ/λ)·dβ</w:t>
            </w:r>
          </w:p>
        </w:tc>
        <w:tc>
          <w:tcPr>
            <w:tcW w:type="dxa" w:w="5035"/>
            <w:tcMar>
              <w:top w:w="22" w:type="dxa"/>
              <w:start w:w="35" w:type="dxa"/>
              <w:bottom w:w="22" w:type="dxa"/>
              <w:end w:w="35" w:type="dxa"/>
            </w:tcMar>
            <w:vAlign w:val="center"/>
          </w:tcPr>
          <w:p>
            <w:r>
              <w:rPr>
                <w:rFonts w:ascii="Cambria" w:hAnsi="Cambria"/>
                <w:sz w:val="14"/>
              </w:rPr>
              <w:t>Logarithmic / differential</w:t>
            </w:r>
          </w:p>
        </w:tc>
      </w:tr>
      <w:tr>
        <w:tc>
          <w:tcPr>
            <w:tcW w:type="dxa" w:w="5035"/>
            <w:tcMar>
              <w:top w:w="22" w:type="dxa"/>
              <w:start w:w="35" w:type="dxa"/>
              <w:bottom w:w="22" w:type="dxa"/>
              <w:end w:w="35" w:type="dxa"/>
            </w:tcMar>
            <w:vAlign w:val="center"/>
          </w:tcPr>
          <w:p>
            <w:r>
              <w:rPr>
                <w:rFonts w:ascii="Cambria" w:hAnsi="Cambria"/>
                <w:sz w:val="14"/>
              </w:rPr>
              <w:t>Z-017</w:t>
            </w:r>
          </w:p>
        </w:tc>
        <w:tc>
          <w:tcPr>
            <w:tcW w:type="dxa" w:w="5035"/>
            <w:tcMar>
              <w:top w:w="22" w:type="dxa"/>
              <w:start w:w="35" w:type="dxa"/>
              <w:bottom w:w="22" w:type="dxa"/>
              <w:end w:w="35" w:type="dxa"/>
            </w:tcMar>
            <w:vAlign w:val="center"/>
          </w:tcPr>
          <w:p>
            <w:r>
              <w:rPr>
                <w:rFonts w:ascii="Cambria Math" w:hAnsi="Cambria Math"/>
                <w:sz w:val="14"/>
              </w:rPr>
              <w:t>dS/dt = (β/λ)·(dΔCₑ/dt)</w:t>
            </w:r>
          </w:p>
        </w:tc>
        <w:tc>
          <w:tcPr>
            <w:tcW w:type="dxa" w:w="5035"/>
            <w:tcMar>
              <w:top w:w="22" w:type="dxa"/>
              <w:start w:w="35" w:type="dxa"/>
              <w:bottom w:w="22" w:type="dxa"/>
              <w:end w:w="35" w:type="dxa"/>
            </w:tcMar>
            <w:vAlign w:val="center"/>
          </w:tcPr>
          <w:p>
            <w:r>
              <w:rPr>
                <w:rFonts w:ascii="Cambria" w:hAnsi="Cambria"/>
                <w:sz w:val="14"/>
              </w:rPr>
              <w:t>Logarithmic / differential</w:t>
            </w:r>
          </w:p>
        </w:tc>
      </w:tr>
      <w:tr>
        <w:tc>
          <w:tcPr>
            <w:tcW w:type="dxa" w:w="5035"/>
            <w:tcMar>
              <w:top w:w="22" w:type="dxa"/>
              <w:start w:w="35" w:type="dxa"/>
              <w:bottom w:w="22" w:type="dxa"/>
              <w:end w:w="35" w:type="dxa"/>
            </w:tcMar>
            <w:vAlign w:val="center"/>
          </w:tcPr>
          <w:p>
            <w:r>
              <w:rPr>
                <w:rFonts w:ascii="Cambria" w:hAnsi="Cambria"/>
                <w:sz w:val="14"/>
              </w:rPr>
              <w:t>Z-018</w:t>
            </w:r>
          </w:p>
        </w:tc>
        <w:tc>
          <w:tcPr>
            <w:tcW w:type="dxa" w:w="5035"/>
            <w:tcMar>
              <w:top w:w="22" w:type="dxa"/>
              <w:start w:w="35" w:type="dxa"/>
              <w:bottom w:w="22" w:type="dxa"/>
              <w:end w:w="35" w:type="dxa"/>
            </w:tcMar>
            <w:vAlign w:val="center"/>
          </w:tcPr>
          <w:p>
            <w:r>
              <w:rPr>
                <w:rFonts w:ascii="Cambria Math" w:hAnsi="Cambria Math"/>
                <w:sz w:val="14"/>
              </w:rPr>
              <w:t>∫dS = ∫(β·dΔCₑ)/λ</w:t>
            </w:r>
          </w:p>
        </w:tc>
        <w:tc>
          <w:tcPr>
            <w:tcW w:type="dxa" w:w="5035"/>
            <w:tcMar>
              <w:top w:w="22" w:type="dxa"/>
              <w:start w:w="35" w:type="dxa"/>
              <w:bottom w:w="22" w:type="dxa"/>
              <w:end w:w="35" w:type="dxa"/>
            </w:tcMar>
            <w:vAlign w:val="center"/>
          </w:tcPr>
          <w:p>
            <w:r>
              <w:rPr>
                <w:rFonts w:ascii="Cambria" w:hAnsi="Cambria"/>
                <w:sz w:val="14"/>
              </w:rPr>
              <w:t>Logarithmic / differential</w:t>
            </w:r>
          </w:p>
        </w:tc>
      </w:tr>
      <w:tr>
        <w:tc>
          <w:tcPr>
            <w:tcW w:type="dxa" w:w="5035"/>
            <w:tcMar>
              <w:top w:w="22" w:type="dxa"/>
              <w:start w:w="35" w:type="dxa"/>
              <w:bottom w:w="22" w:type="dxa"/>
              <w:end w:w="35" w:type="dxa"/>
            </w:tcMar>
            <w:vAlign w:val="center"/>
          </w:tcPr>
          <w:p>
            <w:r>
              <w:rPr>
                <w:rFonts w:ascii="Cambria" w:hAnsi="Cambria"/>
                <w:sz w:val="14"/>
              </w:rPr>
              <w:t>Z-019</w:t>
            </w:r>
          </w:p>
        </w:tc>
        <w:tc>
          <w:tcPr>
            <w:tcW w:type="dxa" w:w="5035"/>
            <w:tcMar>
              <w:top w:w="22" w:type="dxa"/>
              <w:start w:w="35" w:type="dxa"/>
              <w:bottom w:w="22" w:type="dxa"/>
              <w:end w:w="35" w:type="dxa"/>
            </w:tcMar>
            <w:vAlign w:val="center"/>
          </w:tcPr>
          <w:p>
            <w:r>
              <w:rPr>
                <w:rFonts w:ascii="Cambria Math" w:hAnsi="Cambria Math"/>
                <w:sz w:val="14"/>
              </w:rPr>
              <w:t>⟨S⟩ = E[β·ΔCₑ]/E[λ]</w:t>
            </w:r>
          </w:p>
        </w:tc>
        <w:tc>
          <w:tcPr>
            <w:tcW w:type="dxa" w:w="5035"/>
            <w:tcMar>
              <w:top w:w="22" w:type="dxa"/>
              <w:start w:w="35" w:type="dxa"/>
              <w:bottom w:w="22" w:type="dxa"/>
              <w:end w:w="35" w:type="dxa"/>
            </w:tcMar>
            <w:vAlign w:val="center"/>
          </w:tcPr>
          <w:p>
            <w:r>
              <w:rPr>
                <w:rFonts w:ascii="Cambria" w:hAnsi="Cambria"/>
                <w:sz w:val="14"/>
              </w:rPr>
              <w:t>Logarithmic / differential</w:t>
            </w:r>
          </w:p>
        </w:tc>
      </w:tr>
      <w:tr>
        <w:tc>
          <w:tcPr>
            <w:tcW w:type="dxa" w:w="5035"/>
            <w:tcMar>
              <w:top w:w="22" w:type="dxa"/>
              <w:start w:w="35" w:type="dxa"/>
              <w:bottom w:w="22" w:type="dxa"/>
              <w:end w:w="35" w:type="dxa"/>
            </w:tcMar>
            <w:vAlign w:val="center"/>
          </w:tcPr>
          <w:p>
            <w:r>
              <w:rPr>
                <w:rFonts w:ascii="Cambria" w:hAnsi="Cambria"/>
                <w:sz w:val="14"/>
              </w:rPr>
              <w:t>Z-020</w:t>
            </w:r>
          </w:p>
        </w:tc>
        <w:tc>
          <w:tcPr>
            <w:tcW w:type="dxa" w:w="5035"/>
            <w:tcMar>
              <w:top w:w="22" w:type="dxa"/>
              <w:start w:w="35" w:type="dxa"/>
              <w:bottom w:w="22" w:type="dxa"/>
              <w:end w:w="35" w:type="dxa"/>
            </w:tcMar>
            <w:vAlign w:val="center"/>
          </w:tcPr>
          <w:p>
            <w:r>
              <w:rPr>
                <w:rFonts w:ascii="Cambria Math" w:hAnsi="Cambria Math"/>
                <w:sz w:val="14"/>
              </w:rPr>
              <w:t>S = β·ΔCₑ/λ + ε</w:t>
            </w:r>
          </w:p>
        </w:tc>
        <w:tc>
          <w:tcPr>
            <w:tcW w:type="dxa" w:w="5035"/>
            <w:tcMar>
              <w:top w:w="22" w:type="dxa"/>
              <w:start w:w="35" w:type="dxa"/>
              <w:bottom w:w="22" w:type="dxa"/>
              <w:end w:w="35" w:type="dxa"/>
            </w:tcMar>
            <w:vAlign w:val="center"/>
          </w:tcPr>
          <w:p>
            <w:r>
              <w:rPr>
                <w:rFonts w:ascii="Cambria" w:hAnsi="Cambria"/>
                <w:sz w:val="14"/>
              </w:rPr>
              <w:t>Logarithmic / differential</w:t>
            </w:r>
          </w:p>
        </w:tc>
      </w:tr>
      <w:tr>
        <w:tc>
          <w:tcPr>
            <w:tcW w:type="dxa" w:w="5035"/>
            <w:tcMar>
              <w:top w:w="22" w:type="dxa"/>
              <w:start w:w="35" w:type="dxa"/>
              <w:bottom w:w="22" w:type="dxa"/>
              <w:end w:w="35" w:type="dxa"/>
            </w:tcMar>
            <w:vAlign w:val="center"/>
          </w:tcPr>
          <w:p>
            <w:r>
              <w:rPr>
                <w:rFonts w:ascii="Cambria" w:hAnsi="Cambria"/>
                <w:sz w:val="14"/>
              </w:rPr>
              <w:t>Z-021</w:t>
            </w:r>
          </w:p>
        </w:tc>
        <w:tc>
          <w:tcPr>
            <w:tcW w:type="dxa" w:w="5035"/>
            <w:tcMar>
              <w:top w:w="22" w:type="dxa"/>
              <w:start w:w="35" w:type="dxa"/>
              <w:bottom w:w="22" w:type="dxa"/>
              <w:end w:w="35" w:type="dxa"/>
            </w:tcMar>
            <w:vAlign w:val="center"/>
          </w:tcPr>
          <w:p>
            <w:r>
              <w:rPr>
                <w:rFonts w:ascii="Cambria Math" w:hAnsi="Cambria Math"/>
                <w:sz w:val="14"/>
              </w:rPr>
              <w:t>E_s = β·ΔCₑ/λ</w:t>
            </w:r>
          </w:p>
        </w:tc>
        <w:tc>
          <w:tcPr>
            <w:tcW w:type="dxa" w:w="5035"/>
            <w:tcMar>
              <w:top w:w="22" w:type="dxa"/>
              <w:start w:w="35" w:type="dxa"/>
              <w:bottom w:w="22" w:type="dxa"/>
              <w:end w:w="35" w:type="dxa"/>
            </w:tcMar>
            <w:vAlign w:val="center"/>
          </w:tcPr>
          <w:p>
            <w:r>
              <w:rPr>
                <w:rFonts w:ascii="Cambria" w:hAnsi="Cambria"/>
                <w:sz w:val="14"/>
              </w:rPr>
              <w:t>Energy / information</w:t>
            </w:r>
          </w:p>
        </w:tc>
      </w:tr>
      <w:tr>
        <w:tc>
          <w:tcPr>
            <w:tcW w:type="dxa" w:w="5035"/>
            <w:tcMar>
              <w:top w:w="22" w:type="dxa"/>
              <w:start w:w="35" w:type="dxa"/>
              <w:bottom w:w="22" w:type="dxa"/>
              <w:end w:w="35" w:type="dxa"/>
            </w:tcMar>
            <w:vAlign w:val="center"/>
          </w:tcPr>
          <w:p>
            <w:r>
              <w:rPr>
                <w:rFonts w:ascii="Cambria" w:hAnsi="Cambria"/>
                <w:sz w:val="14"/>
              </w:rPr>
              <w:t>Z-022</w:t>
            </w:r>
          </w:p>
        </w:tc>
        <w:tc>
          <w:tcPr>
            <w:tcW w:type="dxa" w:w="5035"/>
            <w:tcMar>
              <w:top w:w="22" w:type="dxa"/>
              <w:start w:w="35" w:type="dxa"/>
              <w:bottom w:w="22" w:type="dxa"/>
              <w:end w:w="35" w:type="dxa"/>
            </w:tcMar>
            <w:vAlign w:val="center"/>
          </w:tcPr>
          <w:p>
            <w:r>
              <w:rPr>
                <w:rFonts w:ascii="Cambria Math" w:hAnsi="Cambria Math"/>
                <w:sz w:val="14"/>
              </w:rPr>
              <w:t>η = (β·ΔCₑ)/λ</w:t>
            </w:r>
          </w:p>
        </w:tc>
        <w:tc>
          <w:tcPr>
            <w:tcW w:type="dxa" w:w="5035"/>
            <w:tcMar>
              <w:top w:w="22" w:type="dxa"/>
              <w:start w:w="35" w:type="dxa"/>
              <w:bottom w:w="22" w:type="dxa"/>
              <w:end w:w="35" w:type="dxa"/>
            </w:tcMar>
            <w:vAlign w:val="center"/>
          </w:tcPr>
          <w:p>
            <w:r>
              <w:rPr>
                <w:rFonts w:ascii="Cambria" w:hAnsi="Cambria"/>
                <w:sz w:val="14"/>
              </w:rPr>
              <w:t>Energy / information</w:t>
            </w:r>
          </w:p>
        </w:tc>
      </w:tr>
      <w:tr>
        <w:tc>
          <w:tcPr>
            <w:tcW w:type="dxa" w:w="5035"/>
            <w:tcMar>
              <w:top w:w="22" w:type="dxa"/>
              <w:start w:w="35" w:type="dxa"/>
              <w:bottom w:w="22" w:type="dxa"/>
              <w:end w:w="35" w:type="dxa"/>
            </w:tcMar>
            <w:vAlign w:val="center"/>
          </w:tcPr>
          <w:p>
            <w:r>
              <w:rPr>
                <w:rFonts w:ascii="Cambria" w:hAnsi="Cambria"/>
                <w:sz w:val="14"/>
              </w:rPr>
              <w:t>Z-023</w:t>
            </w:r>
          </w:p>
        </w:tc>
        <w:tc>
          <w:tcPr>
            <w:tcW w:type="dxa" w:w="5035"/>
            <w:tcMar>
              <w:top w:w="22" w:type="dxa"/>
              <w:start w:w="35" w:type="dxa"/>
              <w:bottom w:w="22" w:type="dxa"/>
              <w:end w:w="35" w:type="dxa"/>
            </w:tcMar>
            <w:vAlign w:val="center"/>
          </w:tcPr>
          <w:p>
            <w:r>
              <w:rPr>
                <w:rFonts w:ascii="Cambria Math" w:hAnsi="Cambria Math"/>
                <w:sz w:val="14"/>
              </w:rPr>
              <w:t>P = (β·ΔCₑ)/λ_t</w:t>
            </w:r>
          </w:p>
        </w:tc>
        <w:tc>
          <w:tcPr>
            <w:tcW w:type="dxa" w:w="5035"/>
            <w:tcMar>
              <w:top w:w="22" w:type="dxa"/>
              <w:start w:w="35" w:type="dxa"/>
              <w:bottom w:w="22" w:type="dxa"/>
              <w:end w:w="35" w:type="dxa"/>
            </w:tcMar>
            <w:vAlign w:val="center"/>
          </w:tcPr>
          <w:p>
            <w:r>
              <w:rPr>
                <w:rFonts w:ascii="Cambria" w:hAnsi="Cambria"/>
                <w:sz w:val="14"/>
              </w:rPr>
              <w:t>Energy / information</w:t>
            </w:r>
          </w:p>
        </w:tc>
      </w:tr>
      <w:tr>
        <w:tc>
          <w:tcPr>
            <w:tcW w:type="dxa" w:w="5035"/>
            <w:tcMar>
              <w:top w:w="22" w:type="dxa"/>
              <w:start w:w="35" w:type="dxa"/>
              <w:bottom w:w="22" w:type="dxa"/>
              <w:end w:w="35" w:type="dxa"/>
            </w:tcMar>
            <w:vAlign w:val="center"/>
          </w:tcPr>
          <w:p>
            <w:r>
              <w:rPr>
                <w:rFonts w:ascii="Cambria" w:hAnsi="Cambria"/>
                <w:sz w:val="14"/>
              </w:rPr>
              <w:t>Z-024</w:t>
            </w:r>
          </w:p>
        </w:tc>
        <w:tc>
          <w:tcPr>
            <w:tcW w:type="dxa" w:w="5035"/>
            <w:tcMar>
              <w:top w:w="22" w:type="dxa"/>
              <w:start w:w="35" w:type="dxa"/>
              <w:bottom w:w="22" w:type="dxa"/>
              <w:end w:w="35" w:type="dxa"/>
            </w:tcMar>
            <w:vAlign w:val="center"/>
          </w:tcPr>
          <w:p>
            <w:r>
              <w:rPr>
                <w:rFonts w:ascii="Cambria Math" w:hAnsi="Cambria Math"/>
                <w:sz w:val="14"/>
              </w:rPr>
              <w:t>I = β·ΔCₑ/λ_n</w:t>
            </w:r>
          </w:p>
        </w:tc>
        <w:tc>
          <w:tcPr>
            <w:tcW w:type="dxa" w:w="5035"/>
            <w:tcMar>
              <w:top w:w="22" w:type="dxa"/>
              <w:start w:w="35" w:type="dxa"/>
              <w:bottom w:w="22" w:type="dxa"/>
              <w:end w:w="35" w:type="dxa"/>
            </w:tcMar>
            <w:vAlign w:val="center"/>
          </w:tcPr>
          <w:p>
            <w:r>
              <w:rPr>
                <w:rFonts w:ascii="Cambria" w:hAnsi="Cambria"/>
                <w:sz w:val="14"/>
              </w:rPr>
              <w:t>Energy / information</w:t>
            </w:r>
          </w:p>
        </w:tc>
      </w:tr>
      <w:tr>
        <w:tc>
          <w:tcPr>
            <w:tcW w:type="dxa" w:w="5035"/>
            <w:tcMar>
              <w:top w:w="22" w:type="dxa"/>
              <w:start w:w="35" w:type="dxa"/>
              <w:bottom w:w="22" w:type="dxa"/>
              <w:end w:w="35" w:type="dxa"/>
            </w:tcMar>
            <w:vAlign w:val="center"/>
          </w:tcPr>
          <w:p>
            <w:r>
              <w:rPr>
                <w:rFonts w:ascii="Cambria" w:hAnsi="Cambria"/>
                <w:sz w:val="14"/>
              </w:rPr>
              <w:t>Z-025</w:t>
            </w:r>
          </w:p>
        </w:tc>
        <w:tc>
          <w:tcPr>
            <w:tcW w:type="dxa" w:w="5035"/>
            <w:tcMar>
              <w:top w:w="22" w:type="dxa"/>
              <w:start w:w="35" w:type="dxa"/>
              <w:bottom w:w="22" w:type="dxa"/>
              <w:end w:w="35" w:type="dxa"/>
            </w:tcMar>
            <w:vAlign w:val="center"/>
          </w:tcPr>
          <w:p>
            <w:r>
              <w:rPr>
                <w:rFonts w:ascii="Cambria Math" w:hAnsi="Cambria Math"/>
                <w:sz w:val="14"/>
              </w:rPr>
              <w:t>Φ = (β·ΔCₑ)/λ_c</w:t>
            </w:r>
          </w:p>
        </w:tc>
        <w:tc>
          <w:tcPr>
            <w:tcW w:type="dxa" w:w="5035"/>
            <w:tcMar>
              <w:top w:w="22" w:type="dxa"/>
              <w:start w:w="35" w:type="dxa"/>
              <w:bottom w:w="22" w:type="dxa"/>
              <w:end w:w="35" w:type="dxa"/>
            </w:tcMar>
            <w:vAlign w:val="center"/>
          </w:tcPr>
          <w:p>
            <w:r>
              <w:rPr>
                <w:rFonts w:ascii="Cambria" w:hAnsi="Cambria"/>
                <w:sz w:val="14"/>
              </w:rPr>
              <w:t>Energy / information</w:t>
            </w:r>
          </w:p>
        </w:tc>
      </w:tr>
      <w:tr>
        <w:tc>
          <w:tcPr>
            <w:tcW w:type="dxa" w:w="5035"/>
            <w:tcMar>
              <w:top w:w="22" w:type="dxa"/>
              <w:start w:w="35" w:type="dxa"/>
              <w:bottom w:w="22" w:type="dxa"/>
              <w:end w:w="35" w:type="dxa"/>
            </w:tcMar>
            <w:vAlign w:val="center"/>
          </w:tcPr>
          <w:p>
            <w:r>
              <w:rPr>
                <w:rFonts w:ascii="Cambria" w:hAnsi="Cambria"/>
                <w:sz w:val="14"/>
              </w:rPr>
              <w:t>Z-026</w:t>
            </w:r>
          </w:p>
        </w:tc>
        <w:tc>
          <w:tcPr>
            <w:tcW w:type="dxa" w:w="5035"/>
            <w:tcMar>
              <w:top w:w="22" w:type="dxa"/>
              <w:start w:w="35" w:type="dxa"/>
              <w:bottom w:w="22" w:type="dxa"/>
              <w:end w:w="35" w:type="dxa"/>
            </w:tcMar>
            <w:vAlign w:val="center"/>
          </w:tcPr>
          <w:p>
            <w:r>
              <w:rPr>
                <w:rFonts w:ascii="Cambria Math" w:hAnsi="Cambria Math"/>
                <w:sz w:val="14"/>
              </w:rPr>
              <w:t>Ω = β·ΔCₑ/(λ + θ)</w:t>
            </w:r>
          </w:p>
        </w:tc>
        <w:tc>
          <w:tcPr>
            <w:tcW w:type="dxa" w:w="5035"/>
            <w:tcMar>
              <w:top w:w="22" w:type="dxa"/>
              <w:start w:w="35" w:type="dxa"/>
              <w:bottom w:w="22" w:type="dxa"/>
              <w:end w:w="35" w:type="dxa"/>
            </w:tcMar>
            <w:vAlign w:val="center"/>
          </w:tcPr>
          <w:p>
            <w:r>
              <w:rPr>
                <w:rFonts w:ascii="Cambria" w:hAnsi="Cambria"/>
                <w:sz w:val="14"/>
              </w:rPr>
              <w:t>Energy / information</w:t>
            </w:r>
          </w:p>
        </w:tc>
      </w:tr>
      <w:tr>
        <w:tc>
          <w:tcPr>
            <w:tcW w:type="dxa" w:w="5035"/>
            <w:tcMar>
              <w:top w:w="22" w:type="dxa"/>
              <w:start w:w="35" w:type="dxa"/>
              <w:bottom w:w="22" w:type="dxa"/>
              <w:end w:w="35" w:type="dxa"/>
            </w:tcMar>
            <w:vAlign w:val="center"/>
          </w:tcPr>
          <w:p>
            <w:r>
              <w:rPr>
                <w:rFonts w:ascii="Cambria" w:hAnsi="Cambria"/>
                <w:sz w:val="14"/>
              </w:rPr>
              <w:t>Z-027</w:t>
            </w:r>
          </w:p>
        </w:tc>
        <w:tc>
          <w:tcPr>
            <w:tcW w:type="dxa" w:w="5035"/>
            <w:tcMar>
              <w:top w:w="22" w:type="dxa"/>
              <w:start w:w="35" w:type="dxa"/>
              <w:bottom w:w="22" w:type="dxa"/>
              <w:end w:w="35" w:type="dxa"/>
            </w:tcMar>
            <w:vAlign w:val="center"/>
          </w:tcPr>
          <w:p>
            <w:r>
              <w:rPr>
                <w:rFonts w:ascii="Cambria Math" w:hAnsi="Cambria Math"/>
                <w:sz w:val="14"/>
              </w:rPr>
              <w:t>σ = β·ΔCₑ/λ_s</w:t>
            </w:r>
          </w:p>
        </w:tc>
        <w:tc>
          <w:tcPr>
            <w:tcW w:type="dxa" w:w="5035"/>
            <w:tcMar>
              <w:top w:w="22" w:type="dxa"/>
              <w:start w:w="35" w:type="dxa"/>
              <w:bottom w:w="22" w:type="dxa"/>
              <w:end w:w="35" w:type="dxa"/>
            </w:tcMar>
            <w:vAlign w:val="center"/>
          </w:tcPr>
          <w:p>
            <w:r>
              <w:rPr>
                <w:rFonts w:ascii="Cambria" w:hAnsi="Cambria"/>
                <w:sz w:val="14"/>
              </w:rPr>
              <w:t>Energy / information</w:t>
            </w:r>
          </w:p>
        </w:tc>
      </w:tr>
      <w:tr>
        <w:tc>
          <w:tcPr>
            <w:tcW w:type="dxa" w:w="5035"/>
            <w:tcMar>
              <w:top w:w="22" w:type="dxa"/>
              <w:start w:w="35" w:type="dxa"/>
              <w:bottom w:w="22" w:type="dxa"/>
              <w:end w:w="35" w:type="dxa"/>
            </w:tcMar>
            <w:vAlign w:val="center"/>
          </w:tcPr>
          <w:p>
            <w:r>
              <w:rPr>
                <w:rFonts w:ascii="Cambria" w:hAnsi="Cambria"/>
                <w:sz w:val="14"/>
              </w:rPr>
              <w:t>Z-028</w:t>
            </w:r>
          </w:p>
        </w:tc>
        <w:tc>
          <w:tcPr>
            <w:tcW w:type="dxa" w:w="5035"/>
            <w:tcMar>
              <w:top w:w="22" w:type="dxa"/>
              <w:start w:w="35" w:type="dxa"/>
              <w:bottom w:w="22" w:type="dxa"/>
              <w:end w:w="35" w:type="dxa"/>
            </w:tcMar>
            <w:vAlign w:val="center"/>
          </w:tcPr>
          <w:p>
            <w:r>
              <w:rPr>
                <w:rFonts w:ascii="Cambria Math" w:hAnsi="Cambria Math"/>
                <w:sz w:val="14"/>
              </w:rPr>
              <w:t>S_E = ∫(β/λ)·dCₑ</w:t>
            </w:r>
          </w:p>
        </w:tc>
        <w:tc>
          <w:tcPr>
            <w:tcW w:type="dxa" w:w="5035"/>
            <w:tcMar>
              <w:top w:w="22" w:type="dxa"/>
              <w:start w:w="35" w:type="dxa"/>
              <w:bottom w:w="22" w:type="dxa"/>
              <w:end w:w="35" w:type="dxa"/>
            </w:tcMar>
            <w:vAlign w:val="center"/>
          </w:tcPr>
          <w:p>
            <w:r>
              <w:rPr>
                <w:rFonts w:ascii="Cambria" w:hAnsi="Cambria"/>
                <w:sz w:val="14"/>
              </w:rPr>
              <w:t>Energy / information</w:t>
            </w:r>
          </w:p>
        </w:tc>
      </w:tr>
      <w:tr>
        <w:tc>
          <w:tcPr>
            <w:tcW w:type="dxa" w:w="5035"/>
            <w:tcMar>
              <w:top w:w="22" w:type="dxa"/>
              <w:start w:w="35" w:type="dxa"/>
              <w:bottom w:w="22" w:type="dxa"/>
              <w:end w:w="35" w:type="dxa"/>
            </w:tcMar>
            <w:vAlign w:val="center"/>
          </w:tcPr>
          <w:p>
            <w:r>
              <w:rPr>
                <w:rFonts w:ascii="Cambria" w:hAnsi="Cambria"/>
                <w:sz w:val="14"/>
              </w:rPr>
              <w:t>Z-029</w:t>
            </w:r>
          </w:p>
        </w:tc>
        <w:tc>
          <w:tcPr>
            <w:tcW w:type="dxa" w:w="5035"/>
            <w:tcMar>
              <w:top w:w="22" w:type="dxa"/>
              <w:start w:w="35" w:type="dxa"/>
              <w:bottom w:w="22" w:type="dxa"/>
              <w:end w:w="35" w:type="dxa"/>
            </w:tcMar>
            <w:vAlign w:val="center"/>
          </w:tcPr>
          <w:p>
            <w:r>
              <w:rPr>
                <w:rFonts w:ascii="Cambria Math" w:hAnsi="Cambria Math"/>
                <w:sz w:val="14"/>
              </w:rPr>
              <w:t>S_Q = (β²·ΔCₑ)/λ</w:t>
            </w:r>
          </w:p>
        </w:tc>
        <w:tc>
          <w:tcPr>
            <w:tcW w:type="dxa" w:w="5035"/>
            <w:tcMar>
              <w:top w:w="22" w:type="dxa"/>
              <w:start w:w="35" w:type="dxa"/>
              <w:bottom w:w="22" w:type="dxa"/>
              <w:end w:w="35" w:type="dxa"/>
            </w:tcMar>
            <w:vAlign w:val="center"/>
          </w:tcPr>
          <w:p>
            <w:r>
              <w:rPr>
                <w:rFonts w:ascii="Cambria" w:hAnsi="Cambria"/>
                <w:sz w:val="14"/>
              </w:rPr>
              <w:t>Energy / information</w:t>
            </w:r>
          </w:p>
        </w:tc>
      </w:tr>
      <w:tr>
        <w:tc>
          <w:tcPr>
            <w:tcW w:type="dxa" w:w="5035"/>
            <w:tcMar>
              <w:top w:w="22" w:type="dxa"/>
              <w:start w:w="35" w:type="dxa"/>
              <w:bottom w:w="22" w:type="dxa"/>
              <w:end w:w="35" w:type="dxa"/>
            </w:tcMar>
            <w:vAlign w:val="center"/>
          </w:tcPr>
          <w:p>
            <w:r>
              <w:rPr>
                <w:rFonts w:ascii="Cambria" w:hAnsi="Cambria"/>
                <w:sz w:val="14"/>
              </w:rPr>
              <w:t>Z-030</w:t>
            </w:r>
          </w:p>
        </w:tc>
        <w:tc>
          <w:tcPr>
            <w:tcW w:type="dxa" w:w="5035"/>
            <w:tcMar>
              <w:top w:w="22" w:type="dxa"/>
              <w:start w:w="35" w:type="dxa"/>
              <w:bottom w:w="22" w:type="dxa"/>
              <w:end w:w="35" w:type="dxa"/>
            </w:tcMar>
            <w:vAlign w:val="center"/>
          </w:tcPr>
          <w:p>
            <w:r>
              <w:rPr>
                <w:rFonts w:ascii="Cambria Math" w:hAnsi="Cambria Math"/>
                <w:sz w:val="14"/>
              </w:rPr>
              <w:t>S = β·ΔCₑ/λ_eff</w:t>
            </w:r>
          </w:p>
        </w:tc>
        <w:tc>
          <w:tcPr>
            <w:tcW w:type="dxa" w:w="5035"/>
            <w:tcMar>
              <w:top w:w="22" w:type="dxa"/>
              <w:start w:w="35" w:type="dxa"/>
              <w:bottom w:w="22" w:type="dxa"/>
              <w:end w:w="35" w:type="dxa"/>
            </w:tcMar>
            <w:vAlign w:val="center"/>
          </w:tcPr>
          <w:p>
            <w:r>
              <w:rPr>
                <w:rFonts w:ascii="Cambria" w:hAnsi="Cambria"/>
                <w:sz w:val="14"/>
              </w:rPr>
              <w:t>Energy / information</w:t>
            </w:r>
          </w:p>
        </w:tc>
      </w:tr>
      <w:tr>
        <w:tc>
          <w:tcPr>
            <w:tcW w:type="dxa" w:w="5035"/>
            <w:tcMar>
              <w:top w:w="22" w:type="dxa"/>
              <w:start w:w="35" w:type="dxa"/>
              <w:bottom w:w="22" w:type="dxa"/>
              <w:end w:w="35" w:type="dxa"/>
            </w:tcMar>
            <w:vAlign w:val="center"/>
          </w:tcPr>
          <w:p>
            <w:r>
              <w:rPr>
                <w:rFonts w:ascii="Cambria" w:hAnsi="Cambria"/>
                <w:sz w:val="14"/>
              </w:rPr>
              <w:t>Z-031</w:t>
            </w:r>
          </w:p>
        </w:tc>
        <w:tc>
          <w:tcPr>
            <w:tcW w:type="dxa" w:w="5035"/>
            <w:tcMar>
              <w:top w:w="22" w:type="dxa"/>
              <w:start w:w="35" w:type="dxa"/>
              <w:bottom w:w="22" w:type="dxa"/>
              <w:end w:w="35" w:type="dxa"/>
            </w:tcMar>
            <w:vAlign w:val="center"/>
          </w:tcPr>
          <w:p>
            <w:r>
              <w:rPr>
                <w:rFonts w:ascii="Cambria Math" w:hAnsi="Cambria Math"/>
                <w:sz w:val="14"/>
              </w:rPr>
              <w:t>S* = (β/β₀)(ΔCₑ/ΔCₑref)(λref/λ)</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Z-032</w:t>
            </w:r>
          </w:p>
        </w:tc>
        <w:tc>
          <w:tcPr>
            <w:tcW w:type="dxa" w:w="5035"/>
            <w:tcMar>
              <w:top w:w="22" w:type="dxa"/>
              <w:start w:w="35" w:type="dxa"/>
              <w:bottom w:w="22" w:type="dxa"/>
              <w:end w:w="35" w:type="dxa"/>
            </w:tcMar>
            <w:vAlign w:val="center"/>
          </w:tcPr>
          <w:p>
            <w:r>
              <w:rPr>
                <w:rFonts w:ascii="Cambria Math" w:hAnsi="Cambria Math"/>
                <w:sz w:val="14"/>
              </w:rPr>
              <w:t>S_u = κ_s β ΔCₑ/λ</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Z-033</w:t>
            </w:r>
          </w:p>
        </w:tc>
        <w:tc>
          <w:tcPr>
            <w:tcW w:type="dxa" w:w="5035"/>
            <w:tcMar>
              <w:top w:w="22" w:type="dxa"/>
              <w:start w:w="35" w:type="dxa"/>
              <w:bottom w:w="22" w:type="dxa"/>
              <w:end w:w="35" w:type="dxa"/>
            </w:tcMar>
            <w:vAlign w:val="center"/>
          </w:tcPr>
          <w:p>
            <w:r>
              <w:rPr>
                <w:rFonts w:ascii="Cambria Math" w:hAnsi="Cambria Math"/>
                <w:sz w:val="14"/>
              </w:rPr>
              <w:t>S_dB = 10log₁₀β + 10log₁₀ΔCₑ − 10log₁₀λ</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Z-034</w:t>
            </w:r>
          </w:p>
        </w:tc>
        <w:tc>
          <w:tcPr>
            <w:tcW w:type="dxa" w:w="5035"/>
            <w:tcMar>
              <w:top w:w="22" w:type="dxa"/>
              <w:start w:w="35" w:type="dxa"/>
              <w:bottom w:w="22" w:type="dxa"/>
              <w:end w:w="35" w:type="dxa"/>
            </w:tcMar>
            <w:vAlign w:val="center"/>
          </w:tcPr>
          <w:p>
            <w:r>
              <w:rPr>
                <w:rFonts w:ascii="Cambria Math" w:hAnsi="Cambria Math"/>
                <w:sz w:val="14"/>
              </w:rPr>
              <w:t>S_T = β(T)ΔCₑ/λ(T)</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Z-035</w:t>
            </w:r>
          </w:p>
        </w:tc>
        <w:tc>
          <w:tcPr>
            <w:tcW w:type="dxa" w:w="5035"/>
            <w:tcMar>
              <w:top w:w="22" w:type="dxa"/>
              <w:start w:w="35" w:type="dxa"/>
              <w:bottom w:w="22" w:type="dxa"/>
              <w:end w:w="35" w:type="dxa"/>
            </w:tcMar>
            <w:vAlign w:val="center"/>
          </w:tcPr>
          <w:p>
            <w:r>
              <w:rPr>
                <w:rFonts w:ascii="Cambria Math" w:hAnsi="Cambria Math"/>
                <w:sz w:val="14"/>
              </w:rPr>
              <w:t>S_p = βΔCₑ/(λ₀ + k_p p)</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Z-036</w:t>
            </w:r>
          </w:p>
        </w:tc>
        <w:tc>
          <w:tcPr>
            <w:tcW w:type="dxa" w:w="5035"/>
            <w:tcMar>
              <w:top w:w="22" w:type="dxa"/>
              <w:start w:w="35" w:type="dxa"/>
              <w:bottom w:w="22" w:type="dxa"/>
              <w:end w:w="35" w:type="dxa"/>
            </w:tcMar>
            <w:vAlign w:val="center"/>
          </w:tcPr>
          <w:p>
            <w:r>
              <w:rPr>
                <w:rFonts w:ascii="Cambria Math" w:hAnsi="Cambria Math"/>
                <w:sz w:val="14"/>
              </w:rPr>
              <w:t>S_ρ = βΔCₑ/(λ₀ + k_ρ ρ)</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Z-037</w:t>
            </w:r>
          </w:p>
        </w:tc>
        <w:tc>
          <w:tcPr>
            <w:tcW w:type="dxa" w:w="5035"/>
            <w:tcMar>
              <w:top w:w="22" w:type="dxa"/>
              <w:start w:w="35" w:type="dxa"/>
              <w:bottom w:w="22" w:type="dxa"/>
              <w:end w:w="35" w:type="dxa"/>
            </w:tcMar>
            <w:vAlign w:val="center"/>
          </w:tcPr>
          <w:p>
            <w:r>
              <w:rPr>
                <w:rFonts w:ascii="Cambria Math" w:hAnsi="Cambria Math"/>
                <w:sz w:val="14"/>
              </w:rPr>
              <w:t>S_μ = βΔCₑ/(λ₀ + k_μ μ)</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Z-038</w:t>
            </w:r>
          </w:p>
        </w:tc>
        <w:tc>
          <w:tcPr>
            <w:tcW w:type="dxa" w:w="5035"/>
            <w:tcMar>
              <w:top w:w="22" w:type="dxa"/>
              <w:start w:w="35" w:type="dxa"/>
              <w:bottom w:w="22" w:type="dxa"/>
              <w:end w:w="35" w:type="dxa"/>
            </w:tcMar>
            <w:vAlign w:val="center"/>
          </w:tcPr>
          <w:p>
            <w:r>
              <w:rPr>
                <w:rFonts w:ascii="Cambria Math" w:hAnsi="Cambria Math"/>
                <w:sz w:val="14"/>
              </w:rPr>
              <w:t>S_τ = βΔCₑ/(λ + 1/τ)</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Z-039</w:t>
            </w:r>
          </w:p>
        </w:tc>
        <w:tc>
          <w:tcPr>
            <w:tcW w:type="dxa" w:w="5035"/>
            <w:tcMar>
              <w:top w:w="22" w:type="dxa"/>
              <w:start w:w="35" w:type="dxa"/>
              <w:bottom w:w="22" w:type="dxa"/>
              <w:end w:w="35" w:type="dxa"/>
            </w:tcMar>
            <w:vAlign w:val="center"/>
          </w:tcPr>
          <w:p>
            <w:r>
              <w:rPr>
                <w:rFonts w:ascii="Cambria Math" w:hAnsi="Cambria Math"/>
                <w:sz w:val="14"/>
              </w:rPr>
              <w:t>S_χ = βχ(ΔCₑ)/λ</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Z-040</w:t>
            </w:r>
          </w:p>
        </w:tc>
        <w:tc>
          <w:tcPr>
            <w:tcW w:type="dxa" w:w="5035"/>
            <w:tcMar>
              <w:top w:w="22" w:type="dxa"/>
              <w:start w:w="35" w:type="dxa"/>
              <w:bottom w:w="22" w:type="dxa"/>
              <w:end w:w="35" w:type="dxa"/>
            </w:tcMar>
            <w:vAlign w:val="center"/>
          </w:tcPr>
          <w:p>
            <w:r>
              <w:rPr>
                <w:rFonts w:ascii="Cambria Math" w:hAnsi="Cambria Math"/>
                <w:sz w:val="14"/>
              </w:rPr>
              <w:t>S_θ = βΔCₑ/(λ + θ_env)</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Z-041</w:t>
            </w:r>
          </w:p>
        </w:tc>
        <w:tc>
          <w:tcPr>
            <w:tcW w:type="dxa" w:w="5035"/>
            <w:tcMar>
              <w:top w:w="22" w:type="dxa"/>
              <w:start w:w="35" w:type="dxa"/>
              <w:bottom w:w="22" w:type="dxa"/>
              <w:end w:w="35" w:type="dxa"/>
            </w:tcMar>
            <w:vAlign w:val="center"/>
          </w:tcPr>
          <w:p>
            <w:r>
              <w:rPr>
                <w:rFonts w:ascii="Cambria Math" w:hAnsi="Cambria Math"/>
                <w:sz w:val="14"/>
              </w:rPr>
              <w:t>S_Π = βΔCₑ/(∏ λ_i)</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Z-042</w:t>
            </w:r>
          </w:p>
        </w:tc>
        <w:tc>
          <w:tcPr>
            <w:tcW w:type="dxa" w:w="5035"/>
            <w:tcMar>
              <w:top w:w="22" w:type="dxa"/>
              <w:start w:w="35" w:type="dxa"/>
              <w:bottom w:w="22" w:type="dxa"/>
              <w:end w:w="35" w:type="dxa"/>
            </w:tcMar>
            <w:vAlign w:val="center"/>
          </w:tcPr>
          <w:p>
            <w:r>
              <w:rPr>
                <w:rFonts w:ascii="Cambria Math" w:hAnsi="Cambria Math"/>
                <w:sz w:val="14"/>
              </w:rPr>
              <w:t>S_Σ = βΔCₑ/(Σ w_i λ_i)</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Z-043</w:t>
            </w:r>
          </w:p>
        </w:tc>
        <w:tc>
          <w:tcPr>
            <w:tcW w:type="dxa" w:w="5035"/>
            <w:tcMar>
              <w:top w:w="22" w:type="dxa"/>
              <w:start w:w="35" w:type="dxa"/>
              <w:bottom w:w="22" w:type="dxa"/>
              <w:end w:w="35" w:type="dxa"/>
            </w:tcMar>
            <w:vAlign w:val="center"/>
          </w:tcPr>
          <w:p>
            <w:r>
              <w:rPr>
                <w:rFonts w:ascii="Cambria Math" w:hAnsi="Cambria Math"/>
                <w:sz w:val="14"/>
              </w:rPr>
              <w:t>S_rms = βΔCₑ/√E[λ²]</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Z-044</w:t>
            </w:r>
          </w:p>
        </w:tc>
        <w:tc>
          <w:tcPr>
            <w:tcW w:type="dxa" w:w="5035"/>
            <w:tcMar>
              <w:top w:w="22" w:type="dxa"/>
              <w:start w:w="35" w:type="dxa"/>
              <w:bottom w:w="22" w:type="dxa"/>
              <w:end w:w="35" w:type="dxa"/>
            </w:tcMar>
            <w:vAlign w:val="center"/>
          </w:tcPr>
          <w:p>
            <w:r>
              <w:rPr>
                <w:rFonts w:ascii="Cambria Math" w:hAnsi="Cambria Math"/>
                <w:sz w:val="14"/>
              </w:rPr>
              <w:t>S_MAD = βΔCₑ/MAD(λ)</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Z-045</w:t>
            </w:r>
          </w:p>
        </w:tc>
        <w:tc>
          <w:tcPr>
            <w:tcW w:type="dxa" w:w="5035"/>
            <w:tcMar>
              <w:top w:w="22" w:type="dxa"/>
              <w:start w:w="35" w:type="dxa"/>
              <w:bottom w:w="22" w:type="dxa"/>
              <w:end w:w="35" w:type="dxa"/>
            </w:tcMar>
            <w:vAlign w:val="center"/>
          </w:tcPr>
          <w:p>
            <w:r>
              <w:rPr>
                <w:rFonts w:ascii="Cambria Math" w:hAnsi="Cambria Math"/>
                <w:sz w:val="14"/>
              </w:rPr>
              <w:t>S_CV = βΔCₑ/CV_λ</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Z-046</w:t>
            </w:r>
          </w:p>
        </w:tc>
        <w:tc>
          <w:tcPr>
            <w:tcW w:type="dxa" w:w="5035"/>
            <w:tcMar>
              <w:top w:w="22" w:type="dxa"/>
              <w:start w:w="35" w:type="dxa"/>
              <w:bottom w:w="22" w:type="dxa"/>
              <w:end w:w="35" w:type="dxa"/>
            </w:tcMar>
            <w:vAlign w:val="center"/>
          </w:tcPr>
          <w:p>
            <w:r>
              <w:rPr>
                <w:rFonts w:ascii="Cambria Math" w:hAnsi="Cambria Math"/>
                <w:sz w:val="14"/>
              </w:rPr>
              <w:t>S_min = βΔCₑ/max(λ,ε)</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Z-047</w:t>
            </w:r>
          </w:p>
        </w:tc>
        <w:tc>
          <w:tcPr>
            <w:tcW w:type="dxa" w:w="5035"/>
            <w:tcMar>
              <w:top w:w="22" w:type="dxa"/>
              <w:start w:w="35" w:type="dxa"/>
              <w:bottom w:w="22" w:type="dxa"/>
              <w:end w:w="35" w:type="dxa"/>
            </w:tcMar>
            <w:vAlign w:val="center"/>
          </w:tcPr>
          <w:p>
            <w:r>
              <w:rPr>
                <w:rFonts w:ascii="Cambria Math" w:hAnsi="Cambria Math"/>
                <w:sz w:val="14"/>
              </w:rPr>
              <w:t>S_sat = (βΔCₑ)/(λ + βΔCₑ/S_max)</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Z-048</w:t>
            </w:r>
          </w:p>
        </w:tc>
        <w:tc>
          <w:tcPr>
            <w:tcW w:type="dxa" w:w="5035"/>
            <w:tcMar>
              <w:top w:w="22" w:type="dxa"/>
              <w:start w:w="35" w:type="dxa"/>
              <w:bottom w:w="22" w:type="dxa"/>
              <w:end w:w="35" w:type="dxa"/>
            </w:tcMar>
            <w:vAlign w:val="center"/>
          </w:tcPr>
          <w:p>
            <w:r>
              <w:rPr>
                <w:rFonts w:ascii="Cambria Math" w:hAnsi="Cambria Math"/>
                <w:sz w:val="14"/>
              </w:rPr>
              <w:t>S_clip = clip((βΔCₑ)/λ,0,S_max)</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Z-049</w:t>
            </w:r>
          </w:p>
        </w:tc>
        <w:tc>
          <w:tcPr>
            <w:tcW w:type="dxa" w:w="5035"/>
            <w:tcMar>
              <w:top w:w="22" w:type="dxa"/>
              <w:start w:w="35" w:type="dxa"/>
              <w:bottom w:w="22" w:type="dxa"/>
              <w:end w:w="35" w:type="dxa"/>
            </w:tcMar>
            <w:vAlign w:val="center"/>
          </w:tcPr>
          <w:p>
            <w:r>
              <w:rPr>
                <w:rFonts w:ascii="Cambria Math" w:hAnsi="Cambria Math"/>
                <w:sz w:val="14"/>
              </w:rPr>
              <w:t>S_sig = S_max σ(βΔCₑ/(λS₀))</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Z-050</w:t>
            </w:r>
          </w:p>
        </w:tc>
        <w:tc>
          <w:tcPr>
            <w:tcW w:type="dxa" w:w="5035"/>
            <w:tcMar>
              <w:top w:w="22" w:type="dxa"/>
              <w:start w:w="35" w:type="dxa"/>
              <w:bottom w:w="22" w:type="dxa"/>
              <w:end w:w="35" w:type="dxa"/>
            </w:tcMar>
            <w:vAlign w:val="center"/>
          </w:tcPr>
          <w:p>
            <w:r>
              <w:rPr>
                <w:rFonts w:ascii="Cambria Math" w:hAnsi="Cambria Math"/>
                <w:sz w:val="14"/>
              </w:rPr>
              <w:t>S_soft = S₀ tanh(βΔCₑ/(λS₀))</w:t>
            </w:r>
          </w:p>
        </w:tc>
        <w:tc>
          <w:tcPr>
            <w:tcW w:type="dxa" w:w="5035"/>
            <w:tcMar>
              <w:top w:w="22" w:type="dxa"/>
              <w:start w:w="35" w:type="dxa"/>
              <w:bottom w:w="22" w:type="dxa"/>
              <w:end w:w="35" w:type="dxa"/>
            </w:tcMar>
            <w:vAlign w:val="center"/>
          </w:tcPr>
          <w:p>
            <w:r>
              <w:rPr>
                <w:rFonts w:ascii="Cambria" w:hAnsi="Cambria"/>
                <w:sz w:val="14"/>
              </w:rPr>
              <w:t>Normalization / units</w:t>
            </w:r>
          </w:p>
        </w:tc>
      </w:tr>
      <w:tr>
        <w:tc>
          <w:tcPr>
            <w:tcW w:type="dxa" w:w="5035"/>
            <w:tcMar>
              <w:top w:w="22" w:type="dxa"/>
              <w:start w:w="35" w:type="dxa"/>
              <w:bottom w:w="22" w:type="dxa"/>
              <w:end w:w="35" w:type="dxa"/>
            </w:tcMar>
            <w:vAlign w:val="center"/>
          </w:tcPr>
          <w:p>
            <w:r>
              <w:rPr>
                <w:rFonts w:ascii="Cambria" w:hAnsi="Cambria"/>
                <w:sz w:val="14"/>
              </w:rPr>
              <w:t>Z-051</w:t>
            </w:r>
          </w:p>
        </w:tc>
        <w:tc>
          <w:tcPr>
            <w:tcW w:type="dxa" w:w="5035"/>
            <w:tcMar>
              <w:top w:w="22" w:type="dxa"/>
              <w:start w:w="35" w:type="dxa"/>
              <w:bottom w:w="22" w:type="dxa"/>
              <w:end w:w="35" w:type="dxa"/>
            </w:tcMar>
            <w:vAlign w:val="center"/>
          </w:tcPr>
          <w:p>
            <w:r>
              <w:rPr>
                <w:rFonts w:ascii="Cambria Math" w:hAnsi="Cambria Math"/>
                <w:sz w:val="14"/>
              </w:rPr>
              <w:t>S⃗ = β DC⃗ /λ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Z-052</w:t>
            </w:r>
          </w:p>
        </w:tc>
        <w:tc>
          <w:tcPr>
            <w:tcW w:type="dxa" w:w="5035"/>
            <w:tcMar>
              <w:top w:w="22" w:type="dxa"/>
              <w:start w:w="35" w:type="dxa"/>
              <w:bottom w:w="22" w:type="dxa"/>
              <w:end w:w="35" w:type="dxa"/>
            </w:tcMar>
            <w:vAlign w:val="center"/>
          </w:tcPr>
          <w:p>
            <w:r>
              <w:rPr>
                <w:rFonts w:ascii="Cambria Math" w:hAnsi="Cambria Math"/>
                <w:sz w:val="14"/>
              </w:rPr>
              <w:t>S = β||DC⃗||₂/λ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Z-053</w:t>
            </w:r>
          </w:p>
        </w:tc>
        <w:tc>
          <w:tcPr>
            <w:tcW w:type="dxa" w:w="5035"/>
            <w:tcMar>
              <w:top w:w="22" w:type="dxa"/>
              <w:start w:w="35" w:type="dxa"/>
              <w:bottom w:w="22" w:type="dxa"/>
              <w:end w:w="35" w:type="dxa"/>
            </w:tcMar>
            <w:vAlign w:val="center"/>
          </w:tcPr>
          <w:p>
            <w:r>
              <w:rPr>
                <w:rFonts w:ascii="Cambria Math" w:hAnsi="Cambria Math"/>
                <w:sz w:val="14"/>
              </w:rPr>
              <w:t>S = β||DC⃗||₁/λ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Z-054</w:t>
            </w:r>
          </w:p>
        </w:tc>
        <w:tc>
          <w:tcPr>
            <w:tcW w:type="dxa" w:w="5035"/>
            <w:tcMar>
              <w:top w:w="22" w:type="dxa"/>
              <w:start w:w="35" w:type="dxa"/>
              <w:bottom w:w="22" w:type="dxa"/>
              <w:end w:w="35" w:type="dxa"/>
            </w:tcMar>
            <w:vAlign w:val="center"/>
          </w:tcPr>
          <w:p>
            <w:r>
              <w:rPr>
                <w:rFonts w:ascii="Cambria Math" w:hAnsi="Cambria Math"/>
                <w:sz w:val="14"/>
              </w:rPr>
              <w:t>S = β||DC⃗||∞/λ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Z-055</w:t>
            </w:r>
          </w:p>
        </w:tc>
        <w:tc>
          <w:tcPr>
            <w:tcW w:type="dxa" w:w="5035"/>
            <w:tcMar>
              <w:top w:w="22" w:type="dxa"/>
              <w:start w:w="35" w:type="dxa"/>
              <w:bottom w:w="22" w:type="dxa"/>
              <w:end w:w="35" w:type="dxa"/>
            </w:tcMar>
            <w:vAlign w:val="center"/>
          </w:tcPr>
          <w:p>
            <w:r>
              <w:rPr>
                <w:rFonts w:ascii="Cambria Math" w:hAnsi="Cambria Math"/>
                <w:sz w:val="14"/>
              </w:rPr>
              <w:t>S = β uᵀDC⃗/λ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Z-056</w:t>
            </w:r>
          </w:p>
        </w:tc>
        <w:tc>
          <w:tcPr>
            <w:tcW w:type="dxa" w:w="5035"/>
            <w:tcMar>
              <w:top w:w="22" w:type="dxa"/>
              <w:start w:w="35" w:type="dxa"/>
              <w:bottom w:w="22" w:type="dxa"/>
              <w:end w:w="35" w:type="dxa"/>
            </w:tcMar>
            <w:vAlign w:val="center"/>
          </w:tcPr>
          <w:p>
            <w:r>
              <w:rPr>
                <w:rFonts w:ascii="Cambria Math" w:hAnsi="Cambria Math"/>
                <w:sz w:val="14"/>
              </w:rPr>
              <w:t>S = β DC⃗ᵀWDC⃗/λ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Z-057</w:t>
            </w:r>
          </w:p>
        </w:tc>
        <w:tc>
          <w:tcPr>
            <w:tcW w:type="dxa" w:w="5035"/>
            <w:tcMar>
              <w:top w:w="22" w:type="dxa"/>
              <w:start w:w="35" w:type="dxa"/>
              <w:bottom w:w="22" w:type="dxa"/>
              <w:end w:w="35" w:type="dxa"/>
            </w:tcMar>
            <w:vAlign w:val="center"/>
          </w:tcPr>
          <w:p>
            <w:r>
              <w:rPr>
                <w:rFonts w:ascii="Cambria Math" w:hAnsi="Cambria Math"/>
                <w:sz w:val="14"/>
              </w:rPr>
              <w:t>S = β tr(W DC⃗ DC⃗ᵀ)/λ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Z-058</w:t>
            </w:r>
          </w:p>
        </w:tc>
        <w:tc>
          <w:tcPr>
            <w:tcW w:type="dxa" w:w="5035"/>
            <w:tcMar>
              <w:top w:w="22" w:type="dxa"/>
              <w:start w:w="35" w:type="dxa"/>
              <w:bottom w:w="22" w:type="dxa"/>
              <w:end w:w="35" w:type="dxa"/>
            </w:tcMar>
            <w:vAlign w:val="center"/>
          </w:tcPr>
          <w:p>
            <w:r>
              <w:rPr>
                <w:rFonts w:ascii="Cambria Math" w:hAnsi="Cambria Math"/>
                <w:sz w:val="14"/>
              </w:rPr>
              <w:t>S = β det(I + DC⃗)/λ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Z-059</w:t>
            </w:r>
          </w:p>
        </w:tc>
        <w:tc>
          <w:tcPr>
            <w:tcW w:type="dxa" w:w="5035"/>
            <w:tcMar>
              <w:top w:w="22" w:type="dxa"/>
              <w:start w:w="35" w:type="dxa"/>
              <w:bottom w:w="22" w:type="dxa"/>
              <w:end w:w="35" w:type="dxa"/>
            </w:tcMar>
            <w:vAlign w:val="center"/>
          </w:tcPr>
          <w:p>
            <w:r>
              <w:rPr>
                <w:rFonts w:ascii="Cambria Math" w:hAnsi="Cambria Math"/>
                <w:sz w:val="14"/>
              </w:rPr>
              <w:t>S = β σ_max(DC⃗)/λ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Z-060</w:t>
            </w:r>
          </w:p>
        </w:tc>
        <w:tc>
          <w:tcPr>
            <w:tcW w:type="dxa" w:w="5035"/>
            <w:tcMar>
              <w:top w:w="22" w:type="dxa"/>
              <w:start w:w="35" w:type="dxa"/>
              <w:bottom w:w="22" w:type="dxa"/>
              <w:end w:w="35" w:type="dxa"/>
            </w:tcMar>
            <w:vAlign w:val="center"/>
          </w:tcPr>
          <w:p>
            <w:r>
              <w:rPr>
                <w:rFonts w:ascii="Cambria Math" w:hAnsi="Cambria Math"/>
                <w:sz w:val="14"/>
              </w:rPr>
              <w:t>S = β Σ w_i σ_i/λ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Z-061</w:t>
            </w:r>
          </w:p>
        </w:tc>
        <w:tc>
          <w:tcPr>
            <w:tcW w:type="dxa" w:w="5035"/>
            <w:tcMar>
              <w:top w:w="22" w:type="dxa"/>
              <w:start w:w="35" w:type="dxa"/>
              <w:bottom w:w="22" w:type="dxa"/>
              <w:end w:w="35" w:type="dxa"/>
            </w:tcMar>
            <w:vAlign w:val="center"/>
          </w:tcPr>
          <w:p>
            <w:r>
              <w:rPr>
                <w:rFonts w:ascii="Cambria Math" w:hAnsi="Cambria Math"/>
                <w:sz w:val="14"/>
              </w:rPr>
              <w:t>S = β(DC⃗:L)/λ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Z-062</w:t>
            </w:r>
          </w:p>
        </w:tc>
        <w:tc>
          <w:tcPr>
            <w:tcW w:type="dxa" w:w="5035"/>
            <w:tcMar>
              <w:top w:w="22" w:type="dxa"/>
              <w:start w:w="35" w:type="dxa"/>
              <w:bottom w:w="22" w:type="dxa"/>
              <w:end w:w="35" w:type="dxa"/>
            </w:tcMar>
            <w:vAlign w:val="center"/>
          </w:tcPr>
          <w:p>
            <w:r>
              <w:rPr>
                <w:rFonts w:ascii="Cambria Math" w:hAnsi="Cambria Math"/>
                <w:sz w:val="14"/>
              </w:rPr>
              <w:t>S = β⟨f,Δc⟩/λ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Z-063</w:t>
            </w:r>
          </w:p>
        </w:tc>
        <w:tc>
          <w:tcPr>
            <w:tcW w:type="dxa" w:w="5035"/>
            <w:tcMar>
              <w:top w:w="22" w:type="dxa"/>
              <w:start w:w="35" w:type="dxa"/>
              <w:bottom w:w="22" w:type="dxa"/>
              <w:end w:w="35" w:type="dxa"/>
            </w:tcMar>
            <w:vAlign w:val="center"/>
          </w:tcPr>
          <w:p>
            <w:r>
              <w:rPr>
                <w:rFonts w:ascii="Cambria Math" w:hAnsi="Cambria Math"/>
                <w:sz w:val="14"/>
              </w:rPr>
              <w:t>S = β∫Δc(x)w(x)dx/λ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Z-064</w:t>
            </w:r>
          </w:p>
        </w:tc>
        <w:tc>
          <w:tcPr>
            <w:tcW w:type="dxa" w:w="5035"/>
            <w:tcMar>
              <w:top w:w="22" w:type="dxa"/>
              <w:start w:w="35" w:type="dxa"/>
              <w:bottom w:w="22" w:type="dxa"/>
              <w:end w:w="35" w:type="dxa"/>
            </w:tcMar>
            <w:vAlign w:val="center"/>
          </w:tcPr>
          <w:p>
            <w:r>
              <w:rPr>
                <w:rFonts w:ascii="Cambria Math" w:hAnsi="Cambria Math"/>
                <w:sz w:val="14"/>
              </w:rPr>
              <w:t>S = β(ΣγᵗΔCₑ(t))/(Σλ(t))</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Z-065</w:t>
            </w:r>
          </w:p>
        </w:tc>
        <w:tc>
          <w:tcPr>
            <w:tcW w:type="dxa" w:w="5035"/>
            <w:tcMar>
              <w:top w:w="22" w:type="dxa"/>
              <w:start w:w="35" w:type="dxa"/>
              <w:bottom w:w="22" w:type="dxa"/>
              <w:end w:w="35" w:type="dxa"/>
            </w:tcMar>
            <w:vAlign w:val="center"/>
          </w:tcPr>
          <w:p>
            <w:r>
              <w:rPr>
                <w:rFonts w:ascii="Cambria Math" w:hAnsi="Cambria Math"/>
                <w:sz w:val="14"/>
              </w:rPr>
              <w:t>S = (Σβ_iΔCₑ,i)/(Σλ_i)</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Z-066</w:t>
            </w:r>
          </w:p>
        </w:tc>
        <w:tc>
          <w:tcPr>
            <w:tcW w:type="dxa" w:w="5035"/>
            <w:tcMar>
              <w:top w:w="22" w:type="dxa"/>
              <w:start w:w="35" w:type="dxa"/>
              <w:bottom w:w="22" w:type="dxa"/>
              <w:end w:w="35" w:type="dxa"/>
            </w:tcMar>
            <w:vAlign w:val="center"/>
          </w:tcPr>
          <w:p>
            <w:r>
              <w:rPr>
                <w:rFonts w:ascii="Cambria Math" w:hAnsi="Cambria Math"/>
                <w:sz w:val="14"/>
              </w:rPr>
              <w:t>S = (bᵀDC⃗)/(oᵀλ⃗)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Z-067</w:t>
            </w:r>
          </w:p>
        </w:tc>
        <w:tc>
          <w:tcPr>
            <w:tcW w:type="dxa" w:w="5035"/>
            <w:tcMar>
              <w:top w:w="22" w:type="dxa"/>
              <w:start w:w="35" w:type="dxa"/>
              <w:bottom w:w="22" w:type="dxa"/>
              <w:end w:w="35" w:type="dxa"/>
            </w:tcMar>
            <w:vAlign w:val="center"/>
          </w:tcPr>
          <w:p>
            <w:r>
              <w:rPr>
                <w:rFonts w:ascii="Cambria Math" w:hAnsi="Cambria Math"/>
                <w:sz w:val="14"/>
              </w:rPr>
              <w:t>S = E[βΔCₑ|X]/E[λ|X]</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Z-068</w:t>
            </w:r>
          </w:p>
        </w:tc>
        <w:tc>
          <w:tcPr>
            <w:tcW w:type="dxa" w:w="5035"/>
            <w:tcMar>
              <w:top w:w="22" w:type="dxa"/>
              <w:start w:w="35" w:type="dxa"/>
              <w:bottom w:w="22" w:type="dxa"/>
              <w:end w:w="35" w:type="dxa"/>
            </w:tcMar>
            <w:vAlign w:val="center"/>
          </w:tcPr>
          <w:p>
            <w:r>
              <w:rPr>
                <w:rFonts w:ascii="Cambria Math" w:hAnsi="Cambria Math"/>
                <w:sz w:val="14"/>
              </w:rPr>
              <w:t>S = β MI(X;Y)/λ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Z-069</w:t>
            </w:r>
          </w:p>
        </w:tc>
        <w:tc>
          <w:tcPr>
            <w:tcW w:type="dxa" w:w="5035"/>
            <w:tcMar>
              <w:top w:w="22" w:type="dxa"/>
              <w:start w:w="35" w:type="dxa"/>
              <w:bottom w:w="22" w:type="dxa"/>
              <w:end w:w="35" w:type="dxa"/>
            </w:tcMar>
            <w:vAlign w:val="center"/>
          </w:tcPr>
          <w:p>
            <w:r>
              <w:rPr>
                <w:rFonts w:ascii="Cambria Math" w:hAnsi="Cambria Math"/>
                <w:sz w:val="14"/>
              </w:rPr>
              <w:t>S = β Corr(X,Y)/λ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Z-070</w:t>
            </w:r>
          </w:p>
        </w:tc>
        <w:tc>
          <w:tcPr>
            <w:tcW w:type="dxa" w:w="5035"/>
            <w:tcMar>
              <w:top w:w="22" w:type="dxa"/>
              <w:start w:w="35" w:type="dxa"/>
              <w:bottom w:w="22" w:type="dxa"/>
              <w:end w:w="35" w:type="dxa"/>
            </w:tcMar>
            <w:vAlign w:val="center"/>
          </w:tcPr>
          <w:p>
            <w:r>
              <w:rPr>
                <w:rFonts w:ascii="Cambria Math" w:hAnsi="Cambria Math"/>
                <w:sz w:val="14"/>
              </w:rPr>
              <w:t>S = β KL(P||Q)/λ</w:t>
            </w:r>
          </w:p>
        </w:tc>
        <w:tc>
          <w:tcPr>
            <w:tcW w:type="dxa" w:w="5035"/>
            <w:tcMar>
              <w:top w:w="22" w:type="dxa"/>
              <w:start w:w="35" w:type="dxa"/>
              <w:bottom w:w="22" w:type="dxa"/>
              <w:end w:w="35" w:type="dxa"/>
            </w:tcMar>
            <w:vAlign w:val="center"/>
          </w:tcPr>
          <w:p>
            <w:r>
              <w:rPr>
                <w:rFonts w:ascii="Cambria" w:hAnsi="Cambria"/>
                <w:sz w:val="14"/>
              </w:rPr>
              <w:t>Vector / matrix / information</w:t>
            </w:r>
          </w:p>
        </w:tc>
      </w:tr>
      <w:tr>
        <w:tc>
          <w:tcPr>
            <w:tcW w:type="dxa" w:w="5035"/>
            <w:tcMar>
              <w:top w:w="22" w:type="dxa"/>
              <w:start w:w="35" w:type="dxa"/>
              <w:bottom w:w="22" w:type="dxa"/>
              <w:end w:w="35" w:type="dxa"/>
            </w:tcMar>
            <w:vAlign w:val="center"/>
          </w:tcPr>
          <w:p>
            <w:r>
              <w:rPr>
                <w:rFonts w:ascii="Cambria" w:hAnsi="Cambria"/>
                <w:sz w:val="14"/>
              </w:rPr>
              <w:t>Z-071</w:t>
            </w:r>
          </w:p>
        </w:tc>
        <w:tc>
          <w:tcPr>
            <w:tcW w:type="dxa" w:w="5035"/>
            <w:tcMar>
              <w:top w:w="22" w:type="dxa"/>
              <w:start w:w="35" w:type="dxa"/>
              <w:bottom w:w="22" w:type="dxa"/>
              <w:end w:w="35" w:type="dxa"/>
            </w:tcMar>
            <w:vAlign w:val="center"/>
          </w:tcPr>
          <w:p>
            <w:r>
              <w:rPr>
                <w:rFonts w:ascii="Cambria Math" w:hAnsi="Cambria Math"/>
                <w:sz w:val="14"/>
              </w:rPr>
              <w:t>S = β SCI/λ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Z-072</w:t>
            </w:r>
          </w:p>
        </w:tc>
        <w:tc>
          <w:tcPr>
            <w:tcW w:type="dxa" w:w="5035"/>
            <w:tcMar>
              <w:top w:w="22" w:type="dxa"/>
              <w:start w:w="35" w:type="dxa"/>
              <w:bottom w:w="22" w:type="dxa"/>
              <w:end w:w="35" w:type="dxa"/>
            </w:tcMar>
            <w:vAlign w:val="center"/>
          </w:tcPr>
          <w:p>
            <w:r>
              <w:rPr>
                <w:rFonts w:ascii="Cambria Math" w:hAnsi="Cambria Math"/>
                <w:sz w:val="14"/>
              </w:rPr>
              <w:t>S = β(1−perplexity/P₀)/λ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Z-073</w:t>
            </w:r>
          </w:p>
        </w:tc>
        <w:tc>
          <w:tcPr>
            <w:tcW w:type="dxa" w:w="5035"/>
            <w:tcMar>
              <w:top w:w="22" w:type="dxa"/>
              <w:start w:w="35" w:type="dxa"/>
              <w:bottom w:w="22" w:type="dxa"/>
              <w:end w:w="35" w:type="dxa"/>
            </w:tcMar>
            <w:vAlign w:val="center"/>
          </w:tcPr>
          <w:p>
            <w:r>
              <w:rPr>
                <w:rFonts w:ascii="Cambria Math" w:hAnsi="Cambria Math"/>
                <w:sz w:val="14"/>
              </w:rPr>
              <w:t>S = β cos(e_{t−1},e_t)/λ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Z-074</w:t>
            </w:r>
          </w:p>
        </w:tc>
        <w:tc>
          <w:tcPr>
            <w:tcW w:type="dxa" w:w="5035"/>
            <w:tcMar>
              <w:top w:w="22" w:type="dxa"/>
              <w:start w:w="35" w:type="dxa"/>
              <w:bottom w:w="22" w:type="dxa"/>
              <w:end w:w="35" w:type="dxa"/>
            </w:tcMar>
            <w:vAlign w:val="center"/>
          </w:tcPr>
          <w:p>
            <w:r>
              <w:rPr>
                <w:rFonts w:ascii="Cambria Math" w:hAnsi="Cambria Math"/>
                <w:sz w:val="14"/>
              </w:rPr>
              <w:t>S = β NPMI/λ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Z-075</w:t>
            </w:r>
          </w:p>
        </w:tc>
        <w:tc>
          <w:tcPr>
            <w:tcW w:type="dxa" w:w="5035"/>
            <w:tcMar>
              <w:top w:w="22" w:type="dxa"/>
              <w:start w:w="35" w:type="dxa"/>
              <w:bottom w:w="22" w:type="dxa"/>
              <w:end w:w="35" w:type="dxa"/>
            </w:tcMar>
            <w:vAlign w:val="center"/>
          </w:tcPr>
          <w:p>
            <w:r>
              <w:rPr>
                <w:rFonts w:ascii="Cambria Math" w:hAnsi="Cambria Math"/>
                <w:sz w:val="14"/>
              </w:rPr>
              <w:t>S = β BLEU/λ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Z-076</w:t>
            </w:r>
          </w:p>
        </w:tc>
        <w:tc>
          <w:tcPr>
            <w:tcW w:type="dxa" w:w="5035"/>
            <w:tcMar>
              <w:top w:w="22" w:type="dxa"/>
              <w:start w:w="35" w:type="dxa"/>
              <w:bottom w:w="22" w:type="dxa"/>
              <w:end w:w="35" w:type="dxa"/>
            </w:tcMar>
            <w:vAlign w:val="center"/>
          </w:tcPr>
          <w:p>
            <w:r>
              <w:rPr>
                <w:rFonts w:ascii="Cambria Math" w:hAnsi="Cambria Math"/>
                <w:sz w:val="14"/>
              </w:rPr>
              <w:t>S = β XAI_consistency/λ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Z-077</w:t>
            </w:r>
          </w:p>
        </w:tc>
        <w:tc>
          <w:tcPr>
            <w:tcW w:type="dxa" w:w="5035"/>
            <w:tcMar>
              <w:top w:w="22" w:type="dxa"/>
              <w:start w:w="35" w:type="dxa"/>
              <w:bottom w:w="22" w:type="dxa"/>
              <w:end w:w="35" w:type="dxa"/>
            </w:tcMar>
            <w:vAlign w:val="center"/>
          </w:tcPr>
          <w:p>
            <w:r>
              <w:rPr>
                <w:rFonts w:ascii="Cambria Math" w:hAnsi="Cambria Math"/>
                <w:sz w:val="14"/>
              </w:rPr>
              <w:t>S = β ΔC_ethic/λ_impact</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Z-078</w:t>
            </w:r>
          </w:p>
        </w:tc>
        <w:tc>
          <w:tcPr>
            <w:tcW w:type="dxa" w:w="5035"/>
            <w:tcMar>
              <w:top w:w="22" w:type="dxa"/>
              <w:start w:w="35" w:type="dxa"/>
              <w:bottom w:w="22" w:type="dxa"/>
              <w:end w:w="35" w:type="dxa"/>
            </w:tcMar>
            <w:vAlign w:val="center"/>
          </w:tcPr>
          <w:p>
            <w:r>
              <w:rPr>
                <w:rFonts w:ascii="Cambria Math" w:hAnsi="Cambria Math"/>
                <w:sz w:val="14"/>
              </w:rPr>
              <w:t>S = β ΔC_mutuelle/λ_bruit</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Z-079</w:t>
            </w:r>
          </w:p>
        </w:tc>
        <w:tc>
          <w:tcPr>
            <w:tcW w:type="dxa" w:w="5035"/>
            <w:tcMar>
              <w:top w:w="22" w:type="dxa"/>
              <w:start w:w="35" w:type="dxa"/>
              <w:bottom w:w="22" w:type="dxa"/>
              <w:end w:w="35" w:type="dxa"/>
            </w:tcMar>
            <w:vAlign w:val="center"/>
          </w:tcPr>
          <w:p>
            <w:r>
              <w:rPr>
                <w:rFonts w:ascii="Cambria Math" w:hAnsi="Cambria Math"/>
                <w:sz w:val="14"/>
              </w:rPr>
              <w:t>S = β F1_consistence/λ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Z-080</w:t>
            </w:r>
          </w:p>
        </w:tc>
        <w:tc>
          <w:tcPr>
            <w:tcW w:type="dxa" w:w="5035"/>
            <w:tcMar>
              <w:top w:w="22" w:type="dxa"/>
              <w:start w:w="35" w:type="dxa"/>
              <w:bottom w:w="22" w:type="dxa"/>
              <w:end w:w="35" w:type="dxa"/>
            </w:tcMar>
            <w:vAlign w:val="center"/>
          </w:tcPr>
          <w:p>
            <w:r>
              <w:rPr>
                <w:rFonts w:ascii="Cambria Math" w:hAnsi="Cambria Math"/>
                <w:sz w:val="14"/>
              </w:rPr>
              <w:t>S = β stability(f)/λ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Z-081</w:t>
            </w:r>
          </w:p>
        </w:tc>
        <w:tc>
          <w:tcPr>
            <w:tcW w:type="dxa" w:w="5035"/>
            <w:tcMar>
              <w:top w:w="22" w:type="dxa"/>
              <w:start w:w="35" w:type="dxa"/>
              <w:bottom w:w="22" w:type="dxa"/>
              <w:end w:w="35" w:type="dxa"/>
            </w:tcMar>
            <w:vAlign w:val="center"/>
          </w:tcPr>
          <w:p>
            <w:r>
              <w:rPr>
                <w:rFonts w:ascii="Cambria Math" w:hAnsi="Cambria Math"/>
                <w:sz w:val="14"/>
              </w:rPr>
              <w:t>S = β calibration/λ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Z-082</w:t>
            </w:r>
          </w:p>
        </w:tc>
        <w:tc>
          <w:tcPr>
            <w:tcW w:type="dxa" w:w="5035"/>
            <w:tcMar>
              <w:top w:w="22" w:type="dxa"/>
              <w:start w:w="35" w:type="dxa"/>
              <w:bottom w:w="22" w:type="dxa"/>
              <w:end w:w="35" w:type="dxa"/>
            </w:tcMar>
            <w:vAlign w:val="center"/>
          </w:tcPr>
          <w:p>
            <w:r>
              <w:rPr>
                <w:rFonts w:ascii="Cambria Math" w:hAnsi="Cambria Math"/>
                <w:sz w:val="14"/>
              </w:rPr>
              <w:t>S = β robustesse_adv/λ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Z-083</w:t>
            </w:r>
          </w:p>
        </w:tc>
        <w:tc>
          <w:tcPr>
            <w:tcW w:type="dxa" w:w="5035"/>
            <w:tcMar>
              <w:top w:w="22" w:type="dxa"/>
              <w:start w:w="35" w:type="dxa"/>
              <w:bottom w:w="22" w:type="dxa"/>
              <w:end w:w="35" w:type="dxa"/>
            </w:tcMar>
            <w:vAlign w:val="center"/>
          </w:tcPr>
          <w:p>
            <w:r>
              <w:rPr>
                <w:rFonts w:ascii="Cambria Math" w:hAnsi="Cambria Math"/>
                <w:sz w:val="14"/>
              </w:rPr>
              <w:t>S = β trustworthiness/λ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Z-084</w:t>
            </w:r>
          </w:p>
        </w:tc>
        <w:tc>
          <w:tcPr>
            <w:tcW w:type="dxa" w:w="5035"/>
            <w:tcMar>
              <w:top w:w="22" w:type="dxa"/>
              <w:start w:w="35" w:type="dxa"/>
              <w:bottom w:w="22" w:type="dxa"/>
              <w:end w:w="35" w:type="dxa"/>
            </w:tcMar>
            <w:vAlign w:val="center"/>
          </w:tcPr>
          <w:p>
            <w:r>
              <w:rPr>
                <w:rFonts w:ascii="Cambria Math" w:hAnsi="Cambria Math"/>
                <w:sz w:val="14"/>
              </w:rPr>
              <w:t>S = β coherence_narrative/λ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Z-085</w:t>
            </w:r>
          </w:p>
        </w:tc>
        <w:tc>
          <w:tcPr>
            <w:tcW w:type="dxa" w:w="5035"/>
            <w:tcMar>
              <w:top w:w="22" w:type="dxa"/>
              <w:start w:w="35" w:type="dxa"/>
              <w:bottom w:w="22" w:type="dxa"/>
              <w:end w:w="35" w:type="dxa"/>
            </w:tcMar>
            <w:vAlign w:val="center"/>
          </w:tcPr>
          <w:p>
            <w:r>
              <w:rPr>
                <w:rFonts w:ascii="Cambria Math" w:hAnsi="Cambria Math"/>
                <w:sz w:val="14"/>
              </w:rPr>
              <w:t>S = β compressibilité/λ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Z-086</w:t>
            </w:r>
          </w:p>
        </w:tc>
        <w:tc>
          <w:tcPr>
            <w:tcW w:type="dxa" w:w="5035"/>
            <w:tcMar>
              <w:top w:w="22" w:type="dxa"/>
              <w:start w:w="35" w:type="dxa"/>
              <w:bottom w:w="22" w:type="dxa"/>
              <w:end w:w="35" w:type="dxa"/>
            </w:tcMar>
            <w:vAlign w:val="center"/>
          </w:tcPr>
          <w:p>
            <w:r>
              <w:rPr>
                <w:rFonts w:ascii="Cambria Math" w:hAnsi="Cambria Math"/>
                <w:sz w:val="14"/>
              </w:rPr>
              <w:t>S = β mutual_predictability/λ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Z-087</w:t>
            </w:r>
          </w:p>
        </w:tc>
        <w:tc>
          <w:tcPr>
            <w:tcW w:type="dxa" w:w="5035"/>
            <w:tcMar>
              <w:top w:w="22" w:type="dxa"/>
              <w:start w:w="35" w:type="dxa"/>
              <w:bottom w:w="22" w:type="dxa"/>
              <w:end w:w="35" w:type="dxa"/>
            </w:tcMar>
            <w:vAlign w:val="center"/>
          </w:tcPr>
          <w:p>
            <w:r>
              <w:rPr>
                <w:rFonts w:ascii="Cambria Math" w:hAnsi="Cambria Math"/>
                <w:sz w:val="14"/>
              </w:rPr>
              <w:t>S = β spectral_gap/λ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Z-088</w:t>
            </w:r>
          </w:p>
        </w:tc>
        <w:tc>
          <w:tcPr>
            <w:tcW w:type="dxa" w:w="5035"/>
            <w:tcMar>
              <w:top w:w="22" w:type="dxa"/>
              <w:start w:w="35" w:type="dxa"/>
              <w:bottom w:w="22" w:type="dxa"/>
              <w:end w:w="35" w:type="dxa"/>
            </w:tcMar>
            <w:vAlign w:val="center"/>
          </w:tcPr>
          <w:p>
            <w:r>
              <w:rPr>
                <w:rFonts w:ascii="Cambria Math" w:hAnsi="Cambria Math"/>
                <w:sz w:val="14"/>
              </w:rPr>
              <w:t>S = β entropy_drop/λ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Z-089</w:t>
            </w:r>
          </w:p>
        </w:tc>
        <w:tc>
          <w:tcPr>
            <w:tcW w:type="dxa" w:w="5035"/>
            <w:tcMar>
              <w:top w:w="22" w:type="dxa"/>
              <w:start w:w="35" w:type="dxa"/>
              <w:bottom w:w="22" w:type="dxa"/>
              <w:end w:w="35" w:type="dxa"/>
            </w:tcMar>
            <w:vAlign w:val="center"/>
          </w:tcPr>
          <w:p>
            <w:r>
              <w:rPr>
                <w:rFonts w:ascii="Cambria Math" w:hAnsi="Cambria Math"/>
                <w:sz w:val="14"/>
              </w:rPr>
              <w:t>S = β synchro_phase/λ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Z-090</w:t>
            </w:r>
          </w:p>
        </w:tc>
        <w:tc>
          <w:tcPr>
            <w:tcW w:type="dxa" w:w="5035"/>
            <w:tcMar>
              <w:top w:w="22" w:type="dxa"/>
              <w:start w:w="35" w:type="dxa"/>
              <w:bottom w:w="22" w:type="dxa"/>
              <w:end w:w="35" w:type="dxa"/>
            </w:tcMar>
            <w:vAlign w:val="center"/>
          </w:tcPr>
          <w:p>
            <w:r>
              <w:rPr>
                <w:rFonts w:ascii="Cambria Math" w:hAnsi="Cambria Math"/>
                <w:sz w:val="14"/>
              </w:rPr>
              <w:t>S = β coherence_EEG/λ</w:t>
            </w:r>
          </w:p>
        </w:tc>
        <w:tc>
          <w:tcPr>
            <w:tcW w:type="dxa" w:w="5035"/>
            <w:tcMar>
              <w:top w:w="22" w:type="dxa"/>
              <w:start w:w="35" w:type="dxa"/>
              <w:bottom w:w="22" w:type="dxa"/>
              <w:end w:w="35" w:type="dxa"/>
            </w:tcMar>
            <w:vAlign w:val="center"/>
          </w:tcPr>
          <w:p>
            <w:r>
              <w:rPr>
                <w:rFonts w:ascii="Cambria" w:hAnsi="Cambria"/>
                <w:sz w:val="14"/>
              </w:rPr>
              <w:t>Computational / semantic proxy</w:t>
            </w:r>
          </w:p>
        </w:tc>
      </w:tr>
      <w:tr>
        <w:tc>
          <w:tcPr>
            <w:tcW w:type="dxa" w:w="5035"/>
            <w:tcMar>
              <w:top w:w="22" w:type="dxa"/>
              <w:start w:w="35" w:type="dxa"/>
              <w:bottom w:w="22" w:type="dxa"/>
              <w:end w:w="35" w:type="dxa"/>
            </w:tcMar>
            <w:vAlign w:val="center"/>
          </w:tcPr>
          <w:p>
            <w:r>
              <w:rPr>
                <w:rFonts w:ascii="Cambria" w:hAnsi="Cambria"/>
                <w:sz w:val="14"/>
              </w:rPr>
              <w:t>Z-091</w:t>
            </w:r>
          </w:p>
        </w:tc>
        <w:tc>
          <w:tcPr>
            <w:tcW w:type="dxa" w:w="5035"/>
            <w:tcMar>
              <w:top w:w="22" w:type="dxa"/>
              <w:start w:w="35" w:type="dxa"/>
              <w:bottom w:w="22" w:type="dxa"/>
              <w:end w:w="35" w:type="dxa"/>
            </w:tcMar>
            <w:vAlign w:val="center"/>
          </w:tcPr>
          <w:p>
            <w:r>
              <w:rPr>
                <w:rFonts w:ascii="Cambria Math" w:hAnsi="Cambria Math"/>
                <w:sz w:val="14"/>
              </w:rPr>
              <w:t>S = β ΔC_bio/λ_met</w:t>
            </w:r>
          </w:p>
        </w:tc>
        <w:tc>
          <w:tcPr>
            <w:tcW w:type="dxa" w:w="5035"/>
            <w:tcMar>
              <w:top w:w="22" w:type="dxa"/>
              <w:start w:w="35" w:type="dxa"/>
              <w:bottom w:w="22" w:type="dxa"/>
              <w:end w:w="35" w:type="dxa"/>
            </w:tcMar>
            <w:vAlign w:val="center"/>
          </w:tcPr>
          <w:p>
            <w:r>
              <w:rPr>
                <w:rFonts w:ascii="Cambria" w:hAnsi="Cambria"/>
                <w:sz w:val="14"/>
              </w:rPr>
              <w:t>Domain variant</w:t>
            </w:r>
          </w:p>
        </w:tc>
      </w:tr>
      <w:tr>
        <w:tc>
          <w:tcPr>
            <w:tcW w:type="dxa" w:w="5035"/>
            <w:tcMar>
              <w:top w:w="22" w:type="dxa"/>
              <w:start w:w="35" w:type="dxa"/>
              <w:bottom w:w="22" w:type="dxa"/>
              <w:end w:w="35" w:type="dxa"/>
            </w:tcMar>
            <w:vAlign w:val="center"/>
          </w:tcPr>
          <w:p>
            <w:r>
              <w:rPr>
                <w:rFonts w:ascii="Cambria" w:hAnsi="Cambria"/>
                <w:sz w:val="14"/>
              </w:rPr>
              <w:t>Z-120</w:t>
            </w:r>
          </w:p>
        </w:tc>
        <w:tc>
          <w:tcPr>
            <w:tcW w:type="dxa" w:w="5035"/>
            <w:tcMar>
              <w:top w:w="22" w:type="dxa"/>
              <w:start w:w="35" w:type="dxa"/>
              <w:bottom w:w="22" w:type="dxa"/>
              <w:end w:w="35" w:type="dxa"/>
            </w:tcMar>
            <w:vAlign w:val="center"/>
          </w:tcPr>
          <w:p>
            <w:r>
              <w:rPr>
                <w:rFonts w:ascii="Cambria Math" w:hAnsi="Cambria Math"/>
                <w:sz w:val="14"/>
              </w:rPr>
              <w:t>S = β ΔC_meta/λ_paradoxe</w:t>
            </w:r>
          </w:p>
        </w:tc>
        <w:tc>
          <w:tcPr>
            <w:tcW w:type="dxa" w:w="5035"/>
            <w:tcMar>
              <w:top w:w="22" w:type="dxa"/>
              <w:start w:w="35" w:type="dxa"/>
              <w:bottom w:w="22" w:type="dxa"/>
              <w:end w:w="35" w:type="dxa"/>
            </w:tcMar>
            <w:vAlign w:val="center"/>
          </w:tcPr>
          <w:p>
            <w:r>
              <w:rPr>
                <w:rFonts w:ascii="Cambria" w:hAnsi="Cambria"/>
                <w:sz w:val="14"/>
              </w:rPr>
              <w:t>Domain variant</w:t>
            </w:r>
          </w:p>
        </w:tc>
      </w:tr>
      <w:tr>
        <w:tc>
          <w:tcPr>
            <w:tcW w:type="dxa" w:w="5035"/>
            <w:tcMar>
              <w:top w:w="22" w:type="dxa"/>
              <w:start w:w="35" w:type="dxa"/>
              <w:bottom w:w="22" w:type="dxa"/>
              <w:end w:w="35" w:type="dxa"/>
            </w:tcMar>
            <w:vAlign w:val="center"/>
          </w:tcPr>
          <w:p>
            <w:r>
              <w:rPr>
                <w:rFonts w:ascii="Cambria" w:hAnsi="Cambria"/>
                <w:sz w:val="14"/>
              </w:rPr>
              <w:t>Z-121</w:t>
            </w:r>
          </w:p>
        </w:tc>
        <w:tc>
          <w:tcPr>
            <w:tcW w:type="dxa" w:w="5035"/>
            <w:tcMar>
              <w:top w:w="22" w:type="dxa"/>
              <w:start w:w="35" w:type="dxa"/>
              <w:bottom w:w="22" w:type="dxa"/>
              <w:end w:w="35" w:type="dxa"/>
            </w:tcMar>
            <w:vAlign w:val="center"/>
          </w:tcPr>
          <w:p>
            <w:r>
              <w:rPr>
                <w:rFonts w:ascii="Cambria Math" w:hAnsi="Cambria Math"/>
                <w:sz w:val="14"/>
              </w:rPr>
              <w:t>S &gt; 1</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Z-122</w:t>
            </w:r>
          </w:p>
        </w:tc>
        <w:tc>
          <w:tcPr>
            <w:tcW w:type="dxa" w:w="5035"/>
            <w:tcMar>
              <w:top w:w="22" w:type="dxa"/>
              <w:start w:w="35" w:type="dxa"/>
              <w:bottom w:w="22" w:type="dxa"/>
              <w:end w:w="35" w:type="dxa"/>
            </w:tcMar>
            <w:vAlign w:val="center"/>
          </w:tcPr>
          <w:p>
            <w:r>
              <w:rPr>
                <w:rFonts w:ascii="Cambria Math" w:hAnsi="Cambria Math"/>
                <w:sz w:val="14"/>
              </w:rPr>
              <w:t>S = 1</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Z-123</w:t>
            </w:r>
          </w:p>
        </w:tc>
        <w:tc>
          <w:tcPr>
            <w:tcW w:type="dxa" w:w="5035"/>
            <w:tcMar>
              <w:top w:w="22" w:type="dxa"/>
              <w:start w:w="35" w:type="dxa"/>
              <w:bottom w:w="22" w:type="dxa"/>
              <w:end w:w="35" w:type="dxa"/>
            </w:tcMar>
            <w:vAlign w:val="center"/>
          </w:tcPr>
          <w:p>
            <w:r>
              <w:rPr>
                <w:rFonts w:ascii="Cambria Math" w:hAnsi="Cambria Math"/>
                <w:sz w:val="14"/>
              </w:rPr>
              <w:t>S &lt; 1</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Z-124</w:t>
            </w:r>
          </w:p>
        </w:tc>
        <w:tc>
          <w:tcPr>
            <w:tcW w:type="dxa" w:w="5035"/>
            <w:tcMar>
              <w:top w:w="22" w:type="dxa"/>
              <w:start w:w="35" w:type="dxa"/>
              <w:bottom w:w="22" w:type="dxa"/>
              <w:end w:w="35" w:type="dxa"/>
            </w:tcMar>
            <w:vAlign w:val="center"/>
          </w:tcPr>
          <w:p>
            <w:r>
              <w:rPr>
                <w:rFonts w:ascii="Cambria Math" w:hAnsi="Cambria Math"/>
                <w:sz w:val="14"/>
              </w:rPr>
              <w:t>∂S/∂β &gt; 0</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Z-125</w:t>
            </w:r>
          </w:p>
        </w:tc>
        <w:tc>
          <w:tcPr>
            <w:tcW w:type="dxa" w:w="5035"/>
            <w:tcMar>
              <w:top w:w="22" w:type="dxa"/>
              <w:start w:w="35" w:type="dxa"/>
              <w:bottom w:w="22" w:type="dxa"/>
              <w:end w:w="35" w:type="dxa"/>
            </w:tcMar>
            <w:vAlign w:val="center"/>
          </w:tcPr>
          <w:p>
            <w:r>
              <w:rPr>
                <w:rFonts w:ascii="Cambria Math" w:hAnsi="Cambria Math"/>
                <w:sz w:val="14"/>
              </w:rPr>
              <w:t>∂S/∂λ &lt; 0</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Z-126</w:t>
            </w:r>
          </w:p>
        </w:tc>
        <w:tc>
          <w:tcPr>
            <w:tcW w:type="dxa" w:w="5035"/>
            <w:tcMar>
              <w:top w:w="22" w:type="dxa"/>
              <w:start w:w="35" w:type="dxa"/>
              <w:bottom w:w="22" w:type="dxa"/>
              <w:end w:w="35" w:type="dxa"/>
            </w:tcMar>
            <w:vAlign w:val="center"/>
          </w:tcPr>
          <w:p>
            <w:r>
              <w:rPr>
                <w:rFonts w:ascii="Cambria Math" w:hAnsi="Cambria Math"/>
                <w:sz w:val="14"/>
              </w:rPr>
              <w:t>S_tot = ΣS_i/n</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Z-127</w:t>
            </w:r>
          </w:p>
        </w:tc>
        <w:tc>
          <w:tcPr>
            <w:tcW w:type="dxa" w:w="5035"/>
            <w:tcMar>
              <w:top w:w="22" w:type="dxa"/>
              <w:start w:w="35" w:type="dxa"/>
              <w:bottom w:w="22" w:type="dxa"/>
              <w:end w:w="35" w:type="dxa"/>
            </w:tcMar>
            <w:vAlign w:val="center"/>
          </w:tcPr>
          <w:p>
            <w:r>
              <w:rPr>
                <w:rFonts w:ascii="Cambria Math" w:hAnsi="Cambria Math"/>
                <w:sz w:val="14"/>
              </w:rPr>
              <w:t>S_sys = Π S_i^{w_i}</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Z-128</w:t>
            </w:r>
          </w:p>
        </w:tc>
        <w:tc>
          <w:tcPr>
            <w:tcW w:type="dxa" w:w="5035"/>
            <w:tcMar>
              <w:top w:w="22" w:type="dxa"/>
              <w:start w:w="35" w:type="dxa"/>
              <w:bottom w:w="22" w:type="dxa"/>
              <w:end w:w="35" w:type="dxa"/>
            </w:tcMar>
            <w:vAlign w:val="center"/>
          </w:tcPr>
          <w:p>
            <w:r>
              <w:rPr>
                <w:rFonts w:ascii="Cambria Math" w:hAnsi="Cambria Math"/>
                <w:sz w:val="14"/>
              </w:rPr>
              <w:t>S_max = β_maxΔCₑ/λ_min</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Z-129</w:t>
            </w:r>
          </w:p>
        </w:tc>
        <w:tc>
          <w:tcPr>
            <w:tcW w:type="dxa" w:w="5035"/>
            <w:tcMar>
              <w:top w:w="22" w:type="dxa"/>
              <w:start w:w="35" w:type="dxa"/>
              <w:bottom w:w="22" w:type="dxa"/>
              <w:end w:w="35" w:type="dxa"/>
            </w:tcMar>
            <w:vAlign w:val="center"/>
          </w:tcPr>
          <w:p>
            <w:r>
              <w:rPr>
                <w:rFonts w:ascii="Cambria Math" w:hAnsi="Cambria Math"/>
                <w:sz w:val="14"/>
              </w:rPr>
              <w:t>S_min = β_minΔCₑ/λ_max</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Z-130</w:t>
            </w:r>
          </w:p>
        </w:tc>
        <w:tc>
          <w:tcPr>
            <w:tcW w:type="dxa" w:w="5035"/>
            <w:tcMar>
              <w:top w:w="22" w:type="dxa"/>
              <w:start w:w="35" w:type="dxa"/>
              <w:bottom w:w="22" w:type="dxa"/>
              <w:end w:w="35" w:type="dxa"/>
            </w:tcMar>
            <w:vAlign w:val="center"/>
          </w:tcPr>
          <w:p>
            <w:r>
              <w:rPr>
                <w:rFonts w:ascii="Cambria Math" w:hAnsi="Cambria Math"/>
                <w:sz w:val="14"/>
              </w:rPr>
              <w:t>S ∈ [0,∞)</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Z-131</w:t>
            </w:r>
          </w:p>
        </w:tc>
        <w:tc>
          <w:tcPr>
            <w:tcW w:type="dxa" w:w="5035"/>
            <w:tcMar>
              <w:top w:w="22" w:type="dxa"/>
              <w:start w:w="35" w:type="dxa"/>
              <w:bottom w:w="22" w:type="dxa"/>
              <w:end w:w="35" w:type="dxa"/>
            </w:tcMar>
            <w:vAlign w:val="center"/>
          </w:tcPr>
          <w:p>
            <w:r>
              <w:rPr>
                <w:rFonts w:ascii="Cambria Math" w:hAnsi="Cambria Math"/>
                <w:sz w:val="14"/>
              </w:rPr>
              <w:t>S_crit = β_cΔCₑ/λ_c = 1</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Z-132</w:t>
            </w:r>
          </w:p>
        </w:tc>
        <w:tc>
          <w:tcPr>
            <w:tcW w:type="dxa" w:w="5035"/>
            <w:tcMar>
              <w:top w:w="22" w:type="dxa"/>
              <w:start w:w="35" w:type="dxa"/>
              <w:bottom w:w="22" w:type="dxa"/>
              <w:end w:w="35" w:type="dxa"/>
            </w:tcMar>
            <w:vAlign w:val="center"/>
          </w:tcPr>
          <w:p>
            <w:r>
              <w:rPr>
                <w:rFonts w:ascii="Cambria Math" w:hAnsi="Cambria Math"/>
                <w:sz w:val="14"/>
              </w:rPr>
              <w:t>dS/dt = 0</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Z-133</w:t>
            </w:r>
          </w:p>
        </w:tc>
        <w:tc>
          <w:tcPr>
            <w:tcW w:type="dxa" w:w="5035"/>
            <w:tcMar>
              <w:top w:w="22" w:type="dxa"/>
              <w:start w:w="35" w:type="dxa"/>
              <w:bottom w:w="22" w:type="dxa"/>
              <w:end w:w="35" w:type="dxa"/>
            </w:tcMar>
            <w:vAlign w:val="center"/>
          </w:tcPr>
          <w:p>
            <w:r>
              <w:rPr>
                <w:rFonts w:ascii="Cambria Math" w:hAnsi="Cambria Math"/>
                <w:sz w:val="14"/>
              </w:rPr>
              <w:t>d²S/dt² &gt; 0</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Z-134</w:t>
            </w:r>
          </w:p>
        </w:tc>
        <w:tc>
          <w:tcPr>
            <w:tcW w:type="dxa" w:w="5035"/>
            <w:tcMar>
              <w:top w:w="22" w:type="dxa"/>
              <w:start w:w="35" w:type="dxa"/>
              <w:bottom w:w="22" w:type="dxa"/>
              <w:end w:w="35" w:type="dxa"/>
            </w:tcMar>
            <w:vAlign w:val="center"/>
          </w:tcPr>
          <w:p>
            <w:r>
              <w:rPr>
                <w:rFonts w:ascii="Cambria Math" w:hAnsi="Cambria Math"/>
                <w:sz w:val="14"/>
              </w:rPr>
              <w:t>S(t+Δt) ≥ S(t)</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Z-135</w:t>
            </w:r>
          </w:p>
        </w:tc>
        <w:tc>
          <w:tcPr>
            <w:tcW w:type="dxa" w:w="5035"/>
            <w:tcMar>
              <w:top w:w="22" w:type="dxa"/>
              <w:start w:w="35" w:type="dxa"/>
              <w:bottom w:w="22" w:type="dxa"/>
              <w:end w:w="35" w:type="dxa"/>
            </w:tcMar>
            <w:vAlign w:val="center"/>
          </w:tcPr>
          <w:p>
            <w:r>
              <w:rPr>
                <w:rFonts w:ascii="Cambria Math" w:hAnsi="Cambria Math"/>
                <w:sz w:val="14"/>
              </w:rPr>
              <w:t>S(A⊕B) ≥ min(S(A),S(B))</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Z-136</w:t>
            </w:r>
          </w:p>
        </w:tc>
        <w:tc>
          <w:tcPr>
            <w:tcW w:type="dxa" w:w="5035"/>
            <w:tcMar>
              <w:top w:w="22" w:type="dxa"/>
              <w:start w:w="35" w:type="dxa"/>
              <w:bottom w:w="22" w:type="dxa"/>
              <w:end w:w="35" w:type="dxa"/>
            </w:tcMar>
            <w:vAlign w:val="center"/>
          </w:tcPr>
          <w:p>
            <w:r>
              <w:rPr>
                <w:rFonts w:ascii="Cambria Math" w:hAnsi="Cambria Math"/>
                <w:sz w:val="14"/>
              </w:rPr>
              <w:t>S(A∩B) ≤ min(S(A),S(B))</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Z-137</w:t>
            </w:r>
          </w:p>
        </w:tc>
        <w:tc>
          <w:tcPr>
            <w:tcW w:type="dxa" w:w="5035"/>
            <w:tcMar>
              <w:top w:w="22" w:type="dxa"/>
              <w:start w:w="35" w:type="dxa"/>
              <w:bottom w:w="22" w:type="dxa"/>
              <w:end w:w="35" w:type="dxa"/>
            </w:tcMar>
            <w:vAlign w:val="center"/>
          </w:tcPr>
          <w:p>
            <w:r>
              <w:rPr>
                <w:rFonts w:ascii="Cambria Math" w:hAnsi="Cambria Math"/>
                <w:sz w:val="14"/>
              </w:rPr>
              <w:t>E[S] ≥ S_obs</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Z-138</w:t>
            </w:r>
          </w:p>
        </w:tc>
        <w:tc>
          <w:tcPr>
            <w:tcW w:type="dxa" w:w="5035"/>
            <w:tcMar>
              <w:top w:w="22" w:type="dxa"/>
              <w:start w:w="35" w:type="dxa"/>
              <w:bottom w:w="22" w:type="dxa"/>
              <w:end w:w="35" w:type="dxa"/>
            </w:tcMar>
            <w:vAlign w:val="center"/>
          </w:tcPr>
          <w:p>
            <w:r>
              <w:rPr>
                <w:rFonts w:ascii="Cambria Math" w:hAnsi="Cambria Math"/>
                <w:sz w:val="14"/>
              </w:rPr>
              <w:t>Var(S) ≤ Var(λ)</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Z-139</w:t>
            </w:r>
          </w:p>
        </w:tc>
        <w:tc>
          <w:tcPr>
            <w:tcW w:type="dxa" w:w="5035"/>
            <w:tcMar>
              <w:top w:w="22" w:type="dxa"/>
              <w:start w:w="35" w:type="dxa"/>
              <w:bottom w:w="22" w:type="dxa"/>
              <w:end w:w="35" w:type="dxa"/>
            </w:tcMar>
            <w:vAlign w:val="center"/>
          </w:tcPr>
          <w:p>
            <w:r>
              <w:rPr>
                <w:rFonts w:ascii="Cambria Math" w:hAnsi="Cambria Math"/>
                <w:sz w:val="14"/>
              </w:rPr>
              <w:t>Cov(β,ΔCₑ) &gt; 0</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Z-140</w:t>
            </w:r>
          </w:p>
        </w:tc>
        <w:tc>
          <w:tcPr>
            <w:tcW w:type="dxa" w:w="5035"/>
            <w:tcMar>
              <w:top w:w="22" w:type="dxa"/>
              <w:start w:w="35" w:type="dxa"/>
              <w:bottom w:w="22" w:type="dxa"/>
              <w:end w:w="35" w:type="dxa"/>
            </w:tcMar>
            <w:vAlign w:val="center"/>
          </w:tcPr>
          <w:p>
            <w:r>
              <w:rPr>
                <w:rFonts w:ascii="Cambria Math" w:hAnsi="Cambria Math"/>
                <w:sz w:val="14"/>
              </w:rPr>
              <w:t>Cov(S,λ) &lt; 0</w:t>
            </w:r>
          </w:p>
        </w:tc>
        <w:tc>
          <w:tcPr>
            <w:tcW w:type="dxa" w:w="5035"/>
            <w:tcMar>
              <w:top w:w="22" w:type="dxa"/>
              <w:start w:w="35" w:type="dxa"/>
              <w:bottom w:w="22" w:type="dxa"/>
              <w:end w:w="35" w:type="dxa"/>
            </w:tcMar>
            <w:vAlign w:val="center"/>
          </w:tcPr>
          <w:p>
            <w:r>
              <w:rPr>
                <w:rFonts w:ascii="Cambria" w:hAnsi="Cambria"/>
                <w:sz w:val="14"/>
              </w:rPr>
              <w:t>Inequality / constraint</w:t>
            </w:r>
          </w:p>
        </w:tc>
      </w:tr>
      <w:tr>
        <w:tc>
          <w:tcPr>
            <w:tcW w:type="dxa" w:w="5035"/>
            <w:tcMar>
              <w:top w:w="22" w:type="dxa"/>
              <w:start w:w="35" w:type="dxa"/>
              <w:bottom w:w="22" w:type="dxa"/>
              <w:end w:w="35" w:type="dxa"/>
            </w:tcMar>
            <w:vAlign w:val="center"/>
          </w:tcPr>
          <w:p>
            <w:r>
              <w:rPr>
                <w:rFonts w:ascii="Cambria" w:hAnsi="Cambria"/>
                <w:sz w:val="14"/>
              </w:rPr>
              <w:t>Z-141</w:t>
            </w:r>
          </w:p>
        </w:tc>
        <w:tc>
          <w:tcPr>
            <w:tcW w:type="dxa" w:w="5035"/>
            <w:tcMar>
              <w:top w:w="22" w:type="dxa"/>
              <w:start w:w="35" w:type="dxa"/>
              <w:bottom w:w="22" w:type="dxa"/>
              <w:end w:w="35" w:type="dxa"/>
            </w:tcMar>
            <w:vAlign w:val="center"/>
          </w:tcPr>
          <w:p>
            <w:r>
              <w:rPr>
                <w:rFonts w:ascii="Cambria Math" w:hAnsi="Cambria Math"/>
                <w:sz w:val="14"/>
              </w:rPr>
              <w:t>S′ = aS + b</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Z-142</w:t>
            </w:r>
          </w:p>
        </w:tc>
        <w:tc>
          <w:tcPr>
            <w:tcW w:type="dxa" w:w="5035"/>
            <w:tcMar>
              <w:top w:w="22" w:type="dxa"/>
              <w:start w:w="35" w:type="dxa"/>
              <w:bottom w:w="22" w:type="dxa"/>
              <w:end w:w="35" w:type="dxa"/>
            </w:tcMar>
            <w:vAlign w:val="center"/>
          </w:tcPr>
          <w:p>
            <w:r>
              <w:rPr>
                <w:rFonts w:ascii="Cambria Math" w:hAnsi="Cambria Math"/>
                <w:sz w:val="14"/>
              </w:rPr>
              <w:t>S′ = S^k</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Z-143</w:t>
            </w:r>
          </w:p>
        </w:tc>
        <w:tc>
          <w:tcPr>
            <w:tcW w:type="dxa" w:w="5035"/>
            <w:tcMar>
              <w:top w:w="22" w:type="dxa"/>
              <w:start w:w="35" w:type="dxa"/>
              <w:bottom w:w="22" w:type="dxa"/>
              <w:end w:w="35" w:type="dxa"/>
            </w:tcMar>
            <w:vAlign w:val="center"/>
          </w:tcPr>
          <w:p>
            <w:r>
              <w:rPr>
                <w:rFonts w:ascii="Cambria Math" w:hAnsi="Cambria Math"/>
                <w:sz w:val="14"/>
              </w:rPr>
              <w:t>S′ = 1/(1+e^{−S})</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Z-144</w:t>
            </w:r>
          </w:p>
        </w:tc>
        <w:tc>
          <w:tcPr>
            <w:tcW w:type="dxa" w:w="5035"/>
            <w:tcMar>
              <w:top w:w="22" w:type="dxa"/>
              <w:start w:w="35" w:type="dxa"/>
              <w:bottom w:w="22" w:type="dxa"/>
              <w:end w:w="35" w:type="dxa"/>
            </w:tcMar>
            <w:vAlign w:val="center"/>
          </w:tcPr>
          <w:p>
            <w:r>
              <w:rPr>
                <w:rFonts w:ascii="Cambria Math" w:hAnsi="Cambria Math"/>
                <w:sz w:val="14"/>
              </w:rPr>
              <w:t>S′ = ln(1+S)</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Z-145</w:t>
            </w:r>
          </w:p>
        </w:tc>
        <w:tc>
          <w:tcPr>
            <w:tcW w:type="dxa" w:w="5035"/>
            <w:tcMar>
              <w:top w:w="22" w:type="dxa"/>
              <w:start w:w="35" w:type="dxa"/>
              <w:bottom w:w="22" w:type="dxa"/>
              <w:end w:w="35" w:type="dxa"/>
            </w:tcMar>
            <w:vAlign w:val="center"/>
          </w:tcPr>
          <w:p>
            <w:r>
              <w:rPr>
                <w:rFonts w:ascii="Cambria Math" w:hAnsi="Cambria Math"/>
                <w:sz w:val="14"/>
              </w:rPr>
              <w:t>S′ = e^S − 1</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Z-146</w:t>
            </w:r>
          </w:p>
        </w:tc>
        <w:tc>
          <w:tcPr>
            <w:tcW w:type="dxa" w:w="5035"/>
            <w:tcMar>
              <w:top w:w="22" w:type="dxa"/>
              <w:start w:w="35" w:type="dxa"/>
              <w:bottom w:w="22" w:type="dxa"/>
              <w:end w:w="35" w:type="dxa"/>
            </w:tcMar>
            <w:vAlign w:val="center"/>
          </w:tcPr>
          <w:p>
            <w:r>
              <w:rPr>
                <w:rFonts w:ascii="Cambria Math" w:hAnsi="Cambria Math"/>
                <w:sz w:val="14"/>
              </w:rPr>
              <w:t>S′ = S/(1+S)</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Z-147</w:t>
            </w:r>
          </w:p>
        </w:tc>
        <w:tc>
          <w:tcPr>
            <w:tcW w:type="dxa" w:w="5035"/>
            <w:tcMar>
              <w:top w:w="22" w:type="dxa"/>
              <w:start w:w="35" w:type="dxa"/>
              <w:bottom w:w="22" w:type="dxa"/>
              <w:end w:w="35" w:type="dxa"/>
            </w:tcMar>
            <w:vAlign w:val="center"/>
          </w:tcPr>
          <w:p>
            <w:r>
              <w:rPr>
                <w:rFonts w:ascii="Cambria Math" w:hAnsi="Cambria Math"/>
                <w:sz w:val="14"/>
              </w:rPr>
              <w:t>S′ = S/(1+λ)</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Z-148</w:t>
            </w:r>
          </w:p>
        </w:tc>
        <w:tc>
          <w:tcPr>
            <w:tcW w:type="dxa" w:w="5035"/>
            <w:tcMar>
              <w:top w:w="22" w:type="dxa"/>
              <w:start w:w="35" w:type="dxa"/>
              <w:bottom w:w="22" w:type="dxa"/>
              <w:end w:w="35" w:type="dxa"/>
            </w:tcMar>
            <w:vAlign w:val="center"/>
          </w:tcPr>
          <w:p>
            <w:r>
              <w:rPr>
                <w:rFonts w:ascii="Cambria Math" w:hAnsi="Cambria Math"/>
                <w:sz w:val="14"/>
              </w:rPr>
              <w:t>S′ = S(1−e^{−β})</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Z-149</w:t>
            </w:r>
          </w:p>
        </w:tc>
        <w:tc>
          <w:tcPr>
            <w:tcW w:type="dxa" w:w="5035"/>
            <w:tcMar>
              <w:top w:w="22" w:type="dxa"/>
              <w:start w:w="35" w:type="dxa"/>
              <w:bottom w:w="22" w:type="dxa"/>
              <w:end w:w="35" w:type="dxa"/>
            </w:tcMar>
            <w:vAlign w:val="center"/>
          </w:tcPr>
          <w:p>
            <w:r>
              <w:rPr>
                <w:rFonts w:ascii="Cambria Math" w:hAnsi="Cambria Math"/>
                <w:sz w:val="14"/>
              </w:rPr>
              <w:t>S′ = S(1+γt)</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Z-150</w:t>
            </w:r>
          </w:p>
        </w:tc>
        <w:tc>
          <w:tcPr>
            <w:tcW w:type="dxa" w:w="5035"/>
            <w:tcMar>
              <w:top w:w="22" w:type="dxa"/>
              <w:start w:w="35" w:type="dxa"/>
              <w:bottom w:w="22" w:type="dxa"/>
              <w:end w:w="35" w:type="dxa"/>
            </w:tcMar>
            <w:vAlign w:val="center"/>
          </w:tcPr>
          <w:p>
            <w:r>
              <w:rPr>
                <w:rFonts w:ascii="Cambria Math" w:hAnsi="Cambria Math"/>
                <w:sz w:val="14"/>
              </w:rPr>
              <w:t>S′ = S/(1+δΔCₑ)</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Z-151</w:t>
            </w:r>
          </w:p>
        </w:tc>
        <w:tc>
          <w:tcPr>
            <w:tcW w:type="dxa" w:w="5035"/>
            <w:tcMar>
              <w:top w:w="22" w:type="dxa"/>
              <w:start w:w="35" w:type="dxa"/>
              <w:bottom w:w="22" w:type="dxa"/>
              <w:end w:w="35" w:type="dxa"/>
            </w:tcMar>
            <w:vAlign w:val="center"/>
          </w:tcPr>
          <w:p>
            <w:r>
              <w:rPr>
                <w:rFonts w:ascii="Cambria Math" w:hAnsi="Cambria Math"/>
                <w:sz w:val="14"/>
              </w:rPr>
              <w:t>S′ = S + η dS/dt</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Z-152</w:t>
            </w:r>
          </w:p>
        </w:tc>
        <w:tc>
          <w:tcPr>
            <w:tcW w:type="dxa" w:w="5035"/>
            <w:tcMar>
              <w:top w:w="22" w:type="dxa"/>
              <w:start w:w="35" w:type="dxa"/>
              <w:bottom w:w="22" w:type="dxa"/>
              <w:end w:w="35" w:type="dxa"/>
            </w:tcMar>
            <w:vAlign w:val="center"/>
          </w:tcPr>
          <w:p>
            <w:r>
              <w:rPr>
                <w:rFonts w:ascii="Cambria Math" w:hAnsi="Cambria Math"/>
                <w:sz w:val="14"/>
              </w:rPr>
              <w:t>S′ = ∫Sdt</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Z-153</w:t>
            </w:r>
          </w:p>
        </w:tc>
        <w:tc>
          <w:tcPr>
            <w:tcW w:type="dxa" w:w="5035"/>
            <w:tcMar>
              <w:top w:w="22" w:type="dxa"/>
              <w:start w:w="35" w:type="dxa"/>
              <w:bottom w:w="22" w:type="dxa"/>
              <w:end w:w="35" w:type="dxa"/>
            </w:tcMar>
            <w:vAlign w:val="center"/>
          </w:tcPr>
          <w:p>
            <w:r>
              <w:rPr>
                <w:rFonts w:ascii="Cambria Math" w:hAnsi="Cambria Math"/>
                <w:sz w:val="14"/>
              </w:rPr>
              <w:t>S′ = dS/dλ</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Z-154</w:t>
            </w:r>
          </w:p>
        </w:tc>
        <w:tc>
          <w:tcPr>
            <w:tcW w:type="dxa" w:w="5035"/>
            <w:tcMar>
              <w:top w:w="22" w:type="dxa"/>
              <w:start w:w="35" w:type="dxa"/>
              <w:bottom w:w="22" w:type="dxa"/>
              <w:end w:w="35" w:type="dxa"/>
            </w:tcMar>
            <w:vAlign w:val="center"/>
          </w:tcPr>
          <w:p>
            <w:r>
              <w:rPr>
                <w:rFonts w:ascii="Cambria Math" w:hAnsi="Cambria Math"/>
                <w:sz w:val="14"/>
              </w:rPr>
              <w:t>S′ = dS/dβ</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Z-155</w:t>
            </w:r>
          </w:p>
        </w:tc>
        <w:tc>
          <w:tcPr>
            <w:tcW w:type="dxa" w:w="5035"/>
            <w:tcMar>
              <w:top w:w="22" w:type="dxa"/>
              <w:start w:w="35" w:type="dxa"/>
              <w:bottom w:w="22" w:type="dxa"/>
              <w:end w:w="35" w:type="dxa"/>
            </w:tcMar>
            <w:vAlign w:val="center"/>
          </w:tcPr>
          <w:p>
            <w:r>
              <w:rPr>
                <w:rFonts w:ascii="Cambria Math" w:hAnsi="Cambria Math"/>
                <w:sz w:val="14"/>
              </w:rPr>
              <w:t>S′ = dS/dΔCₑ</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Z-156</w:t>
            </w:r>
          </w:p>
        </w:tc>
        <w:tc>
          <w:tcPr>
            <w:tcW w:type="dxa" w:w="5035"/>
            <w:tcMar>
              <w:top w:w="22" w:type="dxa"/>
              <w:start w:w="35" w:type="dxa"/>
              <w:bottom w:w="22" w:type="dxa"/>
              <w:end w:w="35" w:type="dxa"/>
            </w:tcMar>
            <w:vAlign w:val="center"/>
          </w:tcPr>
          <w:p>
            <w:r>
              <w:rPr>
                <w:rFonts w:ascii="Cambria Math" w:hAnsi="Cambria Math"/>
                <w:sz w:val="14"/>
              </w:rPr>
              <w:t>S′ = ∂²S/∂β∂λ</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Z-157</w:t>
            </w:r>
          </w:p>
        </w:tc>
        <w:tc>
          <w:tcPr>
            <w:tcW w:type="dxa" w:w="5035"/>
            <w:tcMar>
              <w:top w:w="22" w:type="dxa"/>
              <w:start w:w="35" w:type="dxa"/>
              <w:bottom w:w="22" w:type="dxa"/>
              <w:end w:w="35" w:type="dxa"/>
            </w:tcMar>
            <w:vAlign w:val="center"/>
          </w:tcPr>
          <w:p>
            <w:r>
              <w:rPr>
                <w:rFonts w:ascii="Cambria Math" w:hAnsi="Cambria Math"/>
                <w:sz w:val="14"/>
              </w:rPr>
              <w:t>S′ = ℱ[S]</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Z-158</w:t>
            </w:r>
          </w:p>
        </w:tc>
        <w:tc>
          <w:tcPr>
            <w:tcW w:type="dxa" w:w="5035"/>
            <w:tcMar>
              <w:top w:w="22" w:type="dxa"/>
              <w:start w:w="35" w:type="dxa"/>
              <w:bottom w:w="22" w:type="dxa"/>
              <w:end w:w="35" w:type="dxa"/>
            </w:tcMar>
            <w:vAlign w:val="center"/>
          </w:tcPr>
          <w:p>
            <w:r>
              <w:rPr>
                <w:rFonts w:ascii="Cambria Math" w:hAnsi="Cambria Math"/>
                <w:sz w:val="14"/>
              </w:rPr>
              <w:t>S′ = ℒ[S]</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Z-159</w:t>
            </w:r>
          </w:p>
        </w:tc>
        <w:tc>
          <w:tcPr>
            <w:tcW w:type="dxa" w:w="5035"/>
            <w:tcMar>
              <w:top w:w="22" w:type="dxa"/>
              <w:start w:w="35" w:type="dxa"/>
              <w:bottom w:w="22" w:type="dxa"/>
              <w:end w:w="35" w:type="dxa"/>
            </w:tcMar>
            <w:vAlign w:val="center"/>
          </w:tcPr>
          <w:p>
            <w:r>
              <w:rPr>
                <w:rFonts w:ascii="Cambria Math" w:hAnsi="Cambria Math"/>
                <w:sz w:val="14"/>
              </w:rPr>
              <w:t>S′ = ℤ[S]</w:t>
            </w:r>
          </w:p>
        </w:tc>
        <w:tc>
          <w:tcPr>
            <w:tcW w:type="dxa" w:w="5035"/>
            <w:tcMar>
              <w:top w:w="22" w:type="dxa"/>
              <w:start w:w="35" w:type="dxa"/>
              <w:bottom w:w="22" w:type="dxa"/>
              <w:end w:w="35" w:type="dxa"/>
            </w:tcMar>
            <w:vAlign w:val="center"/>
          </w:tcPr>
          <w:p>
            <w:r>
              <w:rPr>
                <w:rFonts w:ascii="Cambria" w:hAnsi="Cambria"/>
                <w:sz w:val="14"/>
              </w:rPr>
              <w:t>Transformation</w:t>
            </w:r>
          </w:p>
        </w:tc>
      </w:tr>
      <w:tr>
        <w:tc>
          <w:tcPr>
            <w:tcW w:type="dxa" w:w="5035"/>
            <w:tcMar>
              <w:top w:w="22" w:type="dxa"/>
              <w:start w:w="35" w:type="dxa"/>
              <w:bottom w:w="22" w:type="dxa"/>
              <w:end w:w="35" w:type="dxa"/>
            </w:tcMar>
            <w:vAlign w:val="center"/>
          </w:tcPr>
          <w:p>
            <w:r>
              <w:rPr>
                <w:rFonts w:ascii="Cambria" w:hAnsi="Cambria"/>
                <w:sz w:val="14"/>
              </w:rPr>
              <w:t>Z-160</w:t>
            </w:r>
          </w:p>
        </w:tc>
        <w:tc>
          <w:tcPr>
            <w:tcW w:type="dxa" w:w="5035"/>
            <w:tcMar>
              <w:top w:w="22" w:type="dxa"/>
              <w:start w:w="35" w:type="dxa"/>
              <w:bottom w:w="22" w:type="dxa"/>
              <w:end w:w="35" w:type="dxa"/>
            </w:tcMar>
            <w:vAlign w:val="center"/>
          </w:tcPr>
          <w:p>
            <w:r>
              <w:rPr>
                <w:rFonts w:ascii="Cambria Math" w:hAnsi="Cambria Math"/>
                <w:sz w:val="14"/>
              </w:rPr>
              <w:t>S′ = ∇S</w:t>
            </w:r>
          </w:p>
        </w:tc>
        <w:tc>
          <w:tcPr>
            <w:tcW w:type="dxa" w:w="5035"/>
            <w:tcMar>
              <w:top w:w="22" w:type="dxa"/>
              <w:start w:w="35" w:type="dxa"/>
              <w:bottom w:w="22" w:type="dxa"/>
              <w:end w:w="35" w:type="dxa"/>
            </w:tcMar>
            <w:vAlign w:val="center"/>
          </w:tcPr>
          <w:p>
            <w:r>
              <w:rPr>
                <w:rFonts w:ascii="Cambria" w:hAnsi="Cambria"/>
                <w:sz w:val="14"/>
              </w:rPr>
              <w:t>Transformation</w:t>
            </w:r>
          </w:p>
        </w:tc>
      </w:tr>
    </w:tbl>
    <w:p>
      <w:pPr>
        <w:sectPr>
          <w:headerReference w:type="default" r:id="rId13"/>
          <w:pgSz w:w="16834" w:h="11909" w:orient="landscape"/>
          <w:pgMar w:top="792" w:right="864" w:bottom="792" w:left="864" w:header="720" w:footer="720" w:gutter="0"/>
          <w:cols w:space="720"/>
          <w:docGrid w:linePitch="360"/>
        </w:sectPr>
      </w:pPr>
    </w:p>
    <w:p>
      <w:pPr>
        <w:pStyle w:val="Heading1"/>
        <w:keepNext/>
        <w:keepLines/>
      </w:pPr>
      <w:r>
        <w:t>References and priority sources used in Pass 1</w:t>
      </w:r>
    </w:p>
    <w:p>
      <w:pPr>
        <w:pStyle w:val="Bibliography"/>
        <w:spacing w:after="40"/>
      </w:pPr>
      <w:r>
        <w:t>Glauber, R. J. (1963). The Quantum Theory of Optical Coherence. Physical Review 130, 2529. DOI: 10.1103/PhysRev.130.2529.</w:t>
      </w:r>
    </w:p>
    <w:p>
      <w:pPr>
        <w:pStyle w:val="Bibliography"/>
        <w:spacing w:after="40"/>
      </w:pPr>
      <w:r>
        <w:t>Holling, C. S. (1973). Resilience and Stability of Ecological Systems. Annual Review of Ecology and Systematics 4, 1–23. DOI: 10.1146/annurev.es.04.110173.000245.</w:t>
      </w:r>
    </w:p>
    <w:p>
      <w:pPr>
        <w:pStyle w:val="Bibliography"/>
        <w:spacing w:after="40"/>
      </w:pPr>
      <w:r>
        <w:t>Maturana, H. R. &amp; Varela, F. J. (1974). Autopoiesis: the organization of living systems. DOI: 10.1016/0303-2647(74)90031-8.</w:t>
      </w:r>
    </w:p>
    <w:p>
      <w:pPr>
        <w:pStyle w:val="Bibliography"/>
        <w:spacing w:after="40"/>
      </w:pPr>
      <w:r>
        <w:t>Aubin, J.-P. (1990). A Survey of Viability Theory. DOI: 10.1137/0328044.</w:t>
      </w:r>
    </w:p>
    <w:p>
      <w:pPr>
        <w:pStyle w:val="Bibliography"/>
        <w:spacing w:after="40"/>
      </w:pPr>
      <w:r>
        <w:t>Acebrón, J. A. et al. (2005). The Kuramoto model: a simple paradigm for synchronization phenomena. DOI: 10.1103/RevModPhys.77.137.</w:t>
      </w:r>
    </w:p>
    <w:p>
      <w:pPr>
        <w:pStyle w:val="Bibliography"/>
        <w:spacing w:after="40"/>
      </w:pPr>
      <w:r>
        <w:t>Friston, K. (2012). A Free Energy Principle for Biological Systems. Entropy 14, 2100–2121. DOI: 10.3390/e14112100.</w:t>
      </w:r>
    </w:p>
    <w:p>
      <w:pPr>
        <w:pStyle w:val="Bibliography"/>
        <w:spacing w:after="40"/>
      </w:pPr>
      <w:r>
        <w:t>Baumgratz, T., Cramer, M. &amp; Plenio, M. B. (2014). Quantifying Coherence. DOI: 10.1103/PhysRevLett.113.140401.</w:t>
      </w:r>
    </w:p>
    <w:p>
      <w:pPr>
        <w:pStyle w:val="Bibliography"/>
        <w:spacing w:after="40"/>
      </w:pPr>
      <w:r>
        <w:t>Montévil, M. &amp; Mossio, M. (2015). Biological organisation as closure of constraints. DOI: 10.1016/j.jtbi.2015.02.029.</w:t>
      </w:r>
    </w:p>
    <w:p>
      <w:pPr>
        <w:pStyle w:val="Bibliography"/>
        <w:spacing w:after="40"/>
      </w:pPr>
      <w:r>
        <w:t>Hu, M.-L. &amp; Fan, H. (2016). Evolution equation for quantum coherence. Scientific Reports 6, 29260. DOI: 10.1038/srep29260.</w:t>
      </w:r>
    </w:p>
    <w:p>
      <w:pPr>
        <w:pStyle w:val="Bibliography"/>
        <w:spacing w:after="40"/>
      </w:pPr>
      <w:r>
        <w:t>Quilty-Dunn, J. (2018). Unconscious perception and phenomenal coherence. DOI: 10.1093/analys/any022.</w:t>
      </w:r>
    </w:p>
    <w:p>
      <w:pPr>
        <w:pStyle w:val="Bibliography"/>
        <w:spacing w:after="40"/>
      </w:pPr>
      <w:r>
        <w:t>Todd, I. (2025). Coherence as a Physical Resource Below the Landauer Limit. DOI: 10.5281/zenodo.15470314.</w:t>
      </w:r>
    </w:p>
    <w:p>
      <w:pPr>
        <w:pStyle w:val="Bibliography"/>
        <w:spacing w:after="40"/>
      </w:pPr>
      <w:r>
        <w:t>Coherent Intelligence Inc. Research Division (2025-06-05). Universal Coherence Principle: Mathematical Formalization and Cross-Domain Applications. Public web research paper; DOI not verified in Pass 1.</w:t>
      </w:r>
    </w:p>
    <w:p>
      <w:pPr>
        <w:pStyle w:val="Bibliography"/>
        <w:spacing w:after="40"/>
      </w:pPr>
      <w:r>
        <w:t>Yang et al. (2025). Photonic Energy-Coherence Theorem and Experimental Validations. DOI: 10.1002/lpor.202500326.</w:t>
      </w:r>
    </w:p>
    <w:p>
      <w:pPr>
        <w:pStyle w:val="Bibliography"/>
        <w:spacing w:after="40"/>
      </w:pPr>
      <w:r>
        <w:t>Jones, J. C. (2025). Universal Collapse Theory — Foundations of Collapse. DOI: 10.17605/OSF.IO/VZ836.</w:t>
      </w:r>
    </w:p>
    <w:p>
      <w:pPr>
        <w:pStyle w:val="Bibliography"/>
        <w:spacing w:after="40"/>
      </w:pPr>
      <w:r>
        <w:t>Hensgen, A. (2025). Biological Coherence / Δ.72 validation. DOI: 10.5281/zenodo.17363100; later field equation DOI: 10.5281/zenodo.17618496.</w:t>
      </w:r>
    </w:p>
    <w:p>
      <w:pPr>
        <w:pStyle w:val="Bibliography"/>
        <w:spacing w:after="40"/>
      </w:pPr>
      <w:r>
        <w:t>Tabary, F. / Zoran. Théorie Générale de la Cohérence Structurelle. DOI: 10.5281/zenodo.17682120; Zoran Ω DOI: 10.5281/zenodo.17522369; Canonical Equation Family DOI: 10.5281/zenodo.17537450; Z1 DOI: 10.5281/zenodo.18516353.</w:t>
      </w:r>
    </w:p>
    <w:p>
      <w:pPr>
        <w:pStyle w:val="Bibliography"/>
        <w:spacing w:after="40"/>
      </w:pPr>
      <w:r>
        <w:t>Martirosyan, G. et al. (2025). A universal speed limit for spreading of coherence. Nature 647, 608–612. DOI: 10.1038/s41586-025-09735-z.</w:t>
      </w:r>
    </w:p>
    <w:p>
      <w:pPr>
        <w:pStyle w:val="Bibliography"/>
        <w:spacing w:after="40"/>
      </w:pPr>
      <w:r>
        <w:t>Bostick, D. (2025–2026). Coherence / identity persistence programme. Selected DOI records: 10.5281/zenodo.17873361; 10.5281/zenodo.18189782; 10.5281/zenodo.18235565; 10.5281/zenodo.20519804.</w:t>
      </w:r>
    </w:p>
    <w:p>
      <w:pPr>
        <w:pStyle w:val="Bibliography"/>
        <w:spacing w:after="40"/>
      </w:pPr>
      <w:r>
        <w:t>Nero, P. (2026). The Modal Triplet Theory Program A1: Coherent Kinematics. DOI: 10.5281/zenodo.18354943.</w:t>
      </w:r>
    </w:p>
    <w:p>
      <w:pPr>
        <w:pStyle w:val="Bibliography"/>
        <w:spacing w:after="40"/>
      </w:pPr>
      <w:r>
        <w:t>Allen, K. (2026). Law of Admissible Structure. DOI: 10.5281/zenodo.18442745.</w:t>
      </w:r>
    </w:p>
    <w:p>
      <w:pPr>
        <w:pStyle w:val="Bibliography"/>
        <w:spacing w:after="40"/>
      </w:pPr>
      <w:r>
        <w:t>Paton, A. J. (2026). Unified Admissibility Equation / Foundational Admissibility Framework. DOI: 10.5281/zenodo.18707596; 10.5281/zenodo.18708653.</w:t>
      </w:r>
    </w:p>
    <w:p>
      <w:pPr>
        <w:pStyle w:val="Bibliography"/>
        <w:spacing w:after="40"/>
      </w:pPr>
      <w:r>
        <w:t>Bellori, M. (2026). The Principle of Preserved Coherence Under Change. PhilArchive BELTPO-39; archived 5 March 2026. DOI link to be verified in Pass 2.</w:t>
      </w:r>
    </w:p>
    <w:p>
      <w:pPr>
        <w:pStyle w:val="Bibliography"/>
        <w:spacing w:after="40"/>
      </w:pPr>
      <w:r>
        <w:t>Al-Mayahi, A. (2026). Universal Law of Structural Persistence / Coherence as Mutual Information. DOI: 10.5281/zenodo.19056454; 10.5281/zenodo.19185301.</w:t>
      </w:r>
    </w:p>
    <w:p>
      <w:pPr>
        <w:pStyle w:val="Bibliography"/>
        <w:spacing w:after="40"/>
      </w:pPr>
      <w:r>
        <w:t>Jimenez, R., Peña Garay, C., Simpson, F. &amp; Verde, L. (2026). The Coherence Principle: A Falsifiable Prior for Model Selection from the Grammar of Theories. arXiv:2606.18491; DOI not verified in Pass 1.</w:t>
      </w:r>
    </w:p>
    <w:p>
      <w:pPr>
        <w:pStyle w:val="Bibliography"/>
        <w:spacing w:after="40"/>
      </w:pPr>
      <w:r>
        <w:t>Bucchiarone, A., Pierantonio, A. &amp; Vangheluwe, H. (2026). Synergic modeling of coherent systems. DOI: 10.1007/s10270-026-01404-7.</w:t>
      </w:r>
    </w:p>
    <w:p>
      <w:pPr>
        <w:pStyle w:val="Heading1"/>
        <w:keepNext/>
        <w:keepLines/>
      </w:pPr>
      <w:r>
        <w:t>Evidence status and non-claims</w:t>
      </w:r>
    </w:p>
    <w:p>
      <w:r>
        <w:rPr>
          <w:b/>
        </w:rPr>
        <w:t xml:space="preserve">VERIFIED — </w:t>
      </w:r>
      <w:r>
        <w:t>DOI/date/equation or formal object visible in a consulted public source or in the supplied base document.</w:t>
      </w:r>
    </w:p>
    <w:p>
      <w:r>
        <w:rPr>
          <w:b/>
        </w:rPr>
        <w:t xml:space="preserve">DERIVED — </w:t>
      </w:r>
      <w:r>
        <w:t>A mathematical relationship produced by this comparative audit; never backdated to the historical source.</w:t>
      </w:r>
    </w:p>
    <w:p>
      <w:r>
        <w:rPr>
          <w:b/>
        </w:rPr>
        <w:t xml:space="preserve">PROBABLE — </w:t>
      </w:r>
      <w:r>
        <w:t>Strong structural relation requiring primary-equation extraction or symbolic certification.</w:t>
      </w:r>
    </w:p>
    <w:p>
      <w:r>
        <w:rPr>
          <w:b/>
        </w:rPr>
        <w:t xml:space="preserve">PENDING — </w:t>
      </w:r>
      <w:r>
        <w:t>Primary formula, licence, DOI, or version detail not yet fully verified.</w:t>
      </w:r>
    </w:p>
    <w:p>
      <w:r>
        <w:rPr>
          <w:b/>
        </w:rPr>
        <w:t xml:space="preserve">NON-CLAIM — </w:t>
      </w:r>
      <w:r>
        <w:t>This document is not a patent novelty opinion, freedom-to-operate opinion, or assertion that a broad scientific concept is owned by any author.</w:t>
      </w:r>
    </w:p>
    <w:p>
      <w:pPr>
        <w:spacing w:before="320"/>
        <w:jc w:val="center"/>
      </w:pPr>
      <w:r>
        <w:t>Working conclusion — Pass 2/10</w:t>
      </w:r>
    </w:p>
    <w:p>
      <w:pPr>
        <w:jc w:val="center"/>
      </w:pPr>
      <w:r>
        <w:t>The scientifically useful question is not “Who owns coherence?” but: Which mathematical structure was published when, what does it compute, and what transformation—if any—connects it to the others? The next pass will move from chronology to equation-level normalization and transformation certificates.</w:t>
      </w:r>
    </w:p>
    <w:p>
      <w:r>
        <w:br w:type="page"/>
      </w:r>
    </w:p>
    <w:p>
      <w:pPr>
        <w:pStyle w:val="Heading1"/>
        <w:keepNext/>
        <w:keepLines/>
      </w:pPr>
      <w:r>
        <w:t>9. Pass 2 — Primary-equation extraction and priority corrections</w:t>
      </w:r>
    </w:p>
    <w:p>
      <w:r>
        <w:rPr>
          <w:b/>
        </w:rPr>
        <w:t xml:space="preserve">MAJOR PRIORITY CORRECTION — </w:t>
      </w:r>
      <w:r>
        <w:t>Two pre-Zoran lines now materially constrain the historical narrative. Martirosyan et al. posted a quantum-coherence kinematics preprint on 10 October 2024, and Coherent Intelligence published an explicit cross-domain coherence ODE on 5 June 2025. Zoran therefore should not claim priority for coherence kinematics in general or for the first cross-domain dynamic coherence equation.</w:t>
      </w:r>
    </w:p>
    <w:p>
      <w:r>
        <w:rPr>
          <w:b/>
        </w:rPr>
        <w:t xml:space="preserve">ZORAN POSITION AFTER CORRECTION — </w:t>
      </w:r>
      <w:r>
        <w:t>The strongest potentially distinctive territory remains the assembled programme: phenomenal admissibility gauge + declared frames + non-compensation + temporal debt + transversal falsification + executable engines + deterministic AI architecture. That combined priority remains a hypothesis to audit, not a settled world-first claim.</w:t>
      </w:r>
    </w:p>
    <w:p>
      <w:r>
        <w:rPr>
          <w:b/>
        </w:rPr>
        <w:t xml:space="preserve">DOCUMENTARY GAP — </w:t>
      </w:r>
      <w:r>
        <w:t>Repository searches for the legacy identifiers Z-092 and Z-119 returned no hits in the connected public Zoran corpus. The 28-form gap Z-092…Z-119 therefore remains unresolved in Pass 2.</w:t>
      </w:r>
    </w:p>
    <w:p>
      <w:pPr>
        <w:pStyle w:val="Heading2"/>
        <w:keepNext/>
        <w:keepLines/>
      </w:pPr>
      <w:r>
        <w:t>9.1 Two-axis comparison: mathematical skeleton vs scientific relation</w:t>
      </w:r>
    </w:p>
    <w:p>
      <w:r>
        <w:t>A recurring error in coherence literature is to treat equations as equivalent because they share a ratio, a threshold, or a decay term. Pass 2 therefore introduces a second axis independent of E0–E6. The skeleton class describes mathematical shape only; E0–E6 still describes scientific relation.</w:t>
      </w:r>
    </w:p>
    <w:tbl>
      <w:tblPr>
        <w:tblStyle w:val="TableGrid"/>
        <w:tblW w:type="auto" w:w="0"/>
        <w:jc w:val="center"/>
        <w:tblLook w:firstColumn="1" w:firstRow="1" w:lastColumn="0" w:lastRow="0" w:noHBand="0" w:noVBand="1" w:val="04A0"/>
      </w:tblPr>
      <w:tblGrid>
        <w:gridCol w:w="3250"/>
        <w:gridCol w:w="3250"/>
        <w:gridCol w:w="3250"/>
      </w:tblGrid>
      <w:tr>
        <w:trPr>
          <w:tblHeader w:val="true"/>
        </w:trPr>
        <w:tc>
          <w:tcPr>
            <w:tcW w:type="dxa" w:w="3250"/>
            <w:shd w:fill="CFE0E8"/>
          </w:tcPr>
          <w:p>
            <w:r>
              <w:t>Skeleton</w:t>
            </w:r>
          </w:p>
        </w:tc>
        <w:tc>
          <w:tcPr>
            <w:tcW w:type="dxa" w:w="3250"/>
            <w:shd w:fill="CFE0E8"/>
          </w:tcPr>
          <w:p>
            <w:r>
              <w:t>Generic form</w:t>
            </w:r>
          </w:p>
        </w:tc>
        <w:tc>
          <w:tcPr>
            <w:tcW w:type="dxa" w:w="3250"/>
            <w:shd w:fill="CFE0E8"/>
          </w:tcPr>
          <w:p>
            <w:r>
              <w:t>What it captures</w:t>
            </w:r>
          </w:p>
        </w:tc>
      </w:tr>
      <w:tr>
        <w:tc>
          <w:tcPr>
            <w:tcW w:type="dxa" w:w="3250"/>
            <w:tcMar>
              <w:top w:w="55" w:type="dxa"/>
              <w:start w:w="55" w:type="dxa"/>
              <w:bottom w:w="55" w:type="dxa"/>
              <w:end w:w="55" w:type="dxa"/>
            </w:tcMar>
          </w:tcPr>
          <w:p>
            <w:r>
              <w:t>RATIO</w:t>
            </w:r>
          </w:p>
        </w:tc>
        <w:tc>
          <w:tcPr>
            <w:tcW w:type="dxa" w:w="3250"/>
            <w:tcMar>
              <w:top w:w="55" w:type="dxa"/>
              <w:start w:w="55" w:type="dxa"/>
              <w:bottom w:w="55" w:type="dxa"/>
              <w:end w:w="55" w:type="dxa"/>
            </w:tcMar>
          </w:tcPr>
          <w:p>
            <w:r>
              <w:t>C = (productive / stabilizing terms) / (cost / noise terms)</w:t>
            </w:r>
          </w:p>
        </w:tc>
        <w:tc>
          <w:tcPr>
            <w:tcW w:type="dxa" w:w="3250"/>
            <w:tcMar>
              <w:top w:w="55" w:type="dxa"/>
              <w:start w:w="55" w:type="dxa"/>
              <w:bottom w:w="55" w:type="dxa"/>
              <w:end w:w="55" w:type="dxa"/>
            </w:tcMar>
          </w:tcPr>
          <w:p>
            <w:r>
              <w:t>Static or quasi-static balance; can support thresholding but does not itself define dynamics.</w:t>
            </w:r>
          </w:p>
        </w:tc>
      </w:tr>
      <w:tr>
        <w:tc>
          <w:tcPr>
            <w:tcW w:type="dxa" w:w="3250"/>
            <w:tcMar>
              <w:top w:w="55" w:type="dxa"/>
              <w:start w:w="55" w:type="dxa"/>
              <w:bottom w:w="55" w:type="dxa"/>
              <w:end w:w="55" w:type="dxa"/>
            </w:tcMar>
          </w:tcPr>
          <w:p>
            <w:r>
              <w:t>ODE–GDL</w:t>
            </w:r>
          </w:p>
        </w:tc>
        <w:tc>
          <w:tcPr>
            <w:tcW w:type="dxa" w:w="3250"/>
            <w:tcMar>
              <w:top w:w="55" w:type="dxa"/>
              <w:start w:w="55" w:type="dxa"/>
              <w:bottom w:w="55" w:type="dxa"/>
              <w:end w:w="55" w:type="dxa"/>
            </w:tcMar>
          </w:tcPr>
          <w:p>
            <w:r>
              <w:t>dC/dt = generation − dissipation + noise</w:t>
            </w:r>
          </w:p>
        </w:tc>
        <w:tc>
          <w:tcPr>
            <w:tcW w:type="dxa" w:w="3250"/>
            <w:tcMar>
              <w:top w:w="55" w:type="dxa"/>
              <w:start w:w="55" w:type="dxa"/>
              <w:bottom w:w="55" w:type="dxa"/>
              <w:end w:w="55" w:type="dxa"/>
            </w:tcMar>
          </w:tcPr>
          <w:p>
            <w:r>
              <w:t>Explicit coherence dynamics and equilibrium/stability analysis.</w:t>
            </w:r>
          </w:p>
        </w:tc>
      </w:tr>
      <w:tr>
        <w:tc>
          <w:tcPr>
            <w:tcW w:type="dxa" w:w="3250"/>
            <w:tcMar>
              <w:top w:w="55" w:type="dxa"/>
              <w:start w:w="55" w:type="dxa"/>
              <w:bottom w:w="55" w:type="dxa"/>
              <w:end w:w="55" w:type="dxa"/>
            </w:tcMar>
          </w:tcPr>
          <w:p>
            <w:r>
              <w:t>THRESHOLD–DRIFT</w:t>
            </w:r>
          </w:p>
        </w:tc>
        <w:tc>
          <w:tcPr>
            <w:tcW w:type="dxa" w:w="3250"/>
            <w:tcMar>
              <w:top w:w="55" w:type="dxa"/>
              <w:start w:w="55" w:type="dxa"/>
              <w:bottom w:w="55" w:type="dxa"/>
              <w:end w:w="55" w:type="dxa"/>
            </w:tcMar>
          </w:tcPr>
          <w:p>
            <w:r>
              <w:t>Persist ⇔ C ≥ θ ∧ ΔC ≤ ε</w:t>
            </w:r>
          </w:p>
        </w:tc>
        <w:tc>
          <w:tcPr>
            <w:tcW w:type="dxa" w:w="3250"/>
            <w:tcMar>
              <w:top w:w="55" w:type="dxa"/>
              <w:start w:w="55" w:type="dxa"/>
              <w:bottom w:w="55" w:type="dxa"/>
              <w:end w:w="55" w:type="dxa"/>
            </w:tcMar>
          </w:tcPr>
          <w:p>
            <w:r>
              <w:t>Persistence as threshold plus bounded change.</w:t>
            </w:r>
          </w:p>
        </w:tc>
      </w:tr>
      <w:tr>
        <w:tc>
          <w:tcPr>
            <w:tcW w:type="dxa" w:w="3250"/>
            <w:tcMar>
              <w:top w:w="55" w:type="dxa"/>
              <w:start w:w="55" w:type="dxa"/>
              <w:bottom w:w="55" w:type="dxa"/>
              <w:end w:w="55" w:type="dxa"/>
            </w:tcMar>
          </w:tcPr>
          <w:p>
            <w:r>
              <w:t>PATH / REACHABILITY</w:t>
            </w:r>
          </w:p>
        </w:tc>
        <w:tc>
          <w:tcPr>
            <w:tcW w:type="dxa" w:w="3250"/>
            <w:tcMar>
              <w:top w:w="55" w:type="dxa"/>
              <w:start w:w="55" w:type="dxa"/>
              <w:bottom w:w="55" w:type="dxa"/>
              <w:end w:w="55" w:type="dxa"/>
            </w:tcMar>
          </w:tcPr>
          <w:p>
            <w:r>
              <w:t>State ∈ system ⇔ admissible ∧ reachable</w:t>
            </w:r>
          </w:p>
        </w:tc>
        <w:tc>
          <w:tcPr>
            <w:tcW w:type="dxa" w:w="3250"/>
            <w:tcMar>
              <w:top w:w="55" w:type="dxa"/>
              <w:start w:w="55" w:type="dxa"/>
              <w:bottom w:w="55" w:type="dxa"/>
              <w:end w:w="55" w:type="dxa"/>
            </w:tcMar>
          </w:tcPr>
          <w:p>
            <w:r>
              <w:t>Membership/continuation depends on existence of a permissible path.</w:t>
            </w:r>
          </w:p>
        </w:tc>
      </w:tr>
      <w:tr>
        <w:tc>
          <w:tcPr>
            <w:tcW w:type="dxa" w:w="3250"/>
            <w:tcMar>
              <w:top w:w="55" w:type="dxa"/>
              <w:start w:w="55" w:type="dxa"/>
              <w:bottom w:w="55" w:type="dxa"/>
              <w:end w:w="55" w:type="dxa"/>
            </w:tcMar>
          </w:tcPr>
          <w:p>
            <w:r>
              <w:t>OVERLAP / TOLERANCE</w:t>
            </w:r>
          </w:p>
        </w:tc>
        <w:tc>
          <w:tcPr>
            <w:tcW w:type="dxa" w:w="3250"/>
            <w:tcMar>
              <w:top w:w="55" w:type="dxa"/>
              <w:start w:w="55" w:type="dxa"/>
              <w:bottom w:w="55" w:type="dxa"/>
              <w:end w:w="55" w:type="dxa"/>
            </w:tcMar>
          </w:tcPr>
          <w:p>
            <w:r>
              <w:t>O(C_i,C_{i+1}) ≥ θ; D(C_i,C) ≤ δ</w:t>
            </w:r>
          </w:p>
        </w:tc>
        <w:tc>
          <w:tcPr>
            <w:tcW w:type="dxa" w:w="3250"/>
            <w:tcMar>
              <w:top w:w="55" w:type="dxa"/>
              <w:start w:w="55" w:type="dxa"/>
              <w:bottom w:w="55" w:type="dxa"/>
              <w:end w:w="55" w:type="dxa"/>
            </w:tcMar>
          </w:tcPr>
          <w:p>
            <w:r>
              <w:t>Identity or structural continuity across successive configurations.</w:t>
            </w:r>
          </w:p>
        </w:tc>
      </w:tr>
      <w:tr>
        <w:tc>
          <w:tcPr>
            <w:tcW w:type="dxa" w:w="3250"/>
            <w:tcMar>
              <w:top w:w="55" w:type="dxa"/>
              <w:start w:w="55" w:type="dxa"/>
              <w:bottom w:w="55" w:type="dxa"/>
              <w:end w:w="55" w:type="dxa"/>
            </w:tcMar>
          </w:tcPr>
          <w:p>
            <w:r>
              <w:t>FIELD / GEOMETRY</w:t>
            </w:r>
          </w:p>
        </w:tc>
        <w:tc>
          <w:tcPr>
            <w:tcW w:type="dxa" w:w="3250"/>
            <w:tcMar>
              <w:top w:w="55" w:type="dxa"/>
              <w:start w:w="55" w:type="dxa"/>
              <w:bottom w:w="55" w:type="dxa"/>
              <w:end w:w="55" w:type="dxa"/>
            </w:tcMar>
          </w:tcPr>
          <w:p>
            <w:r>
              <w:t>κ(x), metric/tensor/PDE operators</w:t>
            </w:r>
          </w:p>
        </w:tc>
        <w:tc>
          <w:tcPr>
            <w:tcW w:type="dxa" w:w="3250"/>
            <w:tcMar>
              <w:top w:w="55" w:type="dxa"/>
              <w:start w:w="55" w:type="dxa"/>
              <w:bottom w:w="55" w:type="dxa"/>
              <w:end w:w="55" w:type="dxa"/>
            </w:tcMar>
          </w:tcPr>
          <w:p>
            <w:r>
              <w:t>Spatial or geometric coherence field dynamics.</w:t>
            </w:r>
          </w:p>
        </w:tc>
      </w:tr>
      <w:tr>
        <w:tc>
          <w:tcPr>
            <w:tcW w:type="dxa" w:w="3250"/>
            <w:tcMar>
              <w:top w:w="55" w:type="dxa"/>
              <w:start w:w="55" w:type="dxa"/>
              <w:bottom w:w="55" w:type="dxa"/>
              <w:end w:w="55" w:type="dxa"/>
            </w:tcMar>
          </w:tcPr>
          <w:p>
            <w:r>
              <w:t>PROPAGATION SPEED</w:t>
            </w:r>
          </w:p>
        </w:tc>
        <w:tc>
          <w:tcPr>
            <w:tcW w:type="dxa" w:w="3250"/>
            <w:tcMar>
              <w:top w:w="55" w:type="dxa"/>
              <w:start w:w="55" w:type="dxa"/>
              <w:bottom w:w="55" w:type="dxa"/>
              <w:end w:w="55" w:type="dxa"/>
            </w:tcMar>
          </w:tcPr>
          <w:p>
            <w:r>
              <w:t>D = dℓ²/dt or equivalent rate law</w:t>
            </w:r>
          </w:p>
        </w:tc>
        <w:tc>
          <w:tcPr>
            <w:tcW w:type="dxa" w:w="3250"/>
            <w:tcMar>
              <w:top w:w="55" w:type="dxa"/>
              <w:start w:w="55" w:type="dxa"/>
              <w:bottom w:w="55" w:type="dxa"/>
              <w:end w:w="55" w:type="dxa"/>
            </w:tcMar>
          </w:tcPr>
          <w:p>
            <w:r>
              <w:t>Physical speed/rate of coherence spreading.</w:t>
            </w:r>
          </w:p>
        </w:tc>
      </w:tr>
      <w:tr>
        <w:tc>
          <w:tcPr>
            <w:tcW w:type="dxa" w:w="3250"/>
            <w:tcMar>
              <w:top w:w="55" w:type="dxa"/>
              <w:start w:w="55" w:type="dxa"/>
              <w:bottom w:w="55" w:type="dxa"/>
              <w:end w:w="55" w:type="dxa"/>
            </w:tcMar>
          </w:tcPr>
          <w:p>
            <w:r>
              <w:t>COST / PRIOR</w:t>
            </w:r>
          </w:p>
        </w:tc>
        <w:tc>
          <w:tcPr>
            <w:tcW w:type="dxa" w:w="3250"/>
            <w:tcMar>
              <w:top w:w="55" w:type="dxa"/>
              <w:start w:w="55" w:type="dxa"/>
              <w:bottom w:w="55" w:type="dxa"/>
              <w:end w:w="55" w:type="dxa"/>
            </w:tcMar>
          </w:tcPr>
          <w:p>
            <w:r>
              <w:t>C_cost = Σw_iδ_i; P ∝ exp(−αC_cost)</w:t>
            </w:r>
          </w:p>
        </w:tc>
        <w:tc>
          <w:tcPr>
            <w:tcW w:type="dxa" w:w="3250"/>
            <w:tcMar>
              <w:top w:w="55" w:type="dxa"/>
              <w:start w:w="55" w:type="dxa"/>
              <w:bottom w:w="55" w:type="dxa"/>
              <w:end w:w="55" w:type="dxa"/>
            </w:tcMar>
          </w:tcPr>
          <w:p>
            <w:r>
              <w:t>Turns structural-rule violations into model-selection weights.</w:t>
            </w:r>
          </w:p>
        </w:tc>
      </w:tr>
    </w:tbl>
    <w:p>
      <w:pPr>
        <w:pStyle w:val="Heading1"/>
        <w:keepNext/>
        <w:keepLines/>
      </w:pPr>
      <w:r>
        <w:t>10. Primary equation records extracted in Pass 2</w:t>
      </w:r>
    </w:p>
    <w:p>
      <w:pPr>
        <w:pStyle w:val="Heading2"/>
        <w:keepNext/>
        <w:keepLines/>
      </w:pPr>
      <w:r>
        <w:t>10.1 Coherent Intelligence — Universal Coherence Principle</w:t>
      </w:r>
    </w:p>
    <w:p>
      <w:r>
        <w:rPr>
          <w:b/>
        </w:rPr>
        <w:t xml:space="preserve">Earliest date used in this audit: </w:t>
      </w:r>
      <w:r>
        <w:t>5 June 2025 (dated public web paper; no DOI verified)</w:t>
      </w:r>
    </w:p>
    <w:p>
      <w:pPr>
        <w:spacing w:before="120" w:after="60"/>
        <w:jc w:val="center"/>
      </w:pPr>
      <w:r>
        <w:rPr>
          <w:rFonts w:ascii="Cambria Math" w:hAnsi="Cambria Math"/>
          <w:b/>
          <w:sz w:val="25"/>
        </w:rPr>
        <w:t>dC/dt = α(R,W,A) · R(t) · W(t) · A(t) − β(t) · C(t) + η(t)</w:t>
      </w:r>
    </w:p>
    <w:p>
      <w:pPr>
        <w:spacing w:before="120" w:after="60"/>
        <w:jc w:val="center"/>
      </w:pPr>
      <w:r>
        <w:rPr>
          <w:rFonts w:ascii="Cambria Math" w:hAnsi="Cambria Math"/>
          <w:b/>
          <w:sz w:val="25"/>
        </w:rPr>
        <w:t>C_eq = α(R,W,A) · R · W · A / β</w:t>
      </w:r>
    </w:p>
    <w:p>
      <w:r>
        <w:rPr>
          <w:b/>
        </w:rPr>
        <w:t xml:space="preserve">What it permits: </w:t>
      </w:r>
      <w:r>
        <w:t>Explicit time evolution, equilibrium, threshold analysis, stochastic extensions, vector coherence and coupled-system equations.</w:t>
      </w:r>
    </w:p>
    <w:p>
      <w:r>
        <w:rPr>
          <w:b/>
        </w:rPr>
        <w:t xml:space="preserve">Relation to Zoran: </w:t>
      </w:r>
      <w:r>
        <w:t>Mathematical skeleton: ODE–GDL. At equilibrium it also reduces to a multiplicative-drivers / loss-rate ratio. Similar skeleton to some Zoran ratios, but operands and scientific definitions are different; classification E4/E5, not E1.</w:t>
      </w:r>
    </w:p>
    <w:p>
      <w:r>
        <w:rPr>
          <w:b/>
        </w:rPr>
        <w:t xml:space="preserve">Priority implication: </w:t>
      </w:r>
      <w:r>
        <w:t>This is a pre-Zoran cross-domain dynamic-coherence formulation and must be credited as such. It blocks a defensible claim that Zoran introduced the first transversal dynamic coherence equation.</w:t>
      </w:r>
    </w:p>
    <w:p>
      <w:pPr>
        <w:pStyle w:val="Bibliography"/>
        <w:spacing w:after="40"/>
      </w:pPr>
      <w:r>
        <w:t>Primary web source: Coherent Intelligence Inc., “Universal Coherence Principle: Mathematical Formalization and Cross-Domain Applications”, dated 2025-06-05, https://coherent-intelligence.uk/papers/ucp-math.html</w:t>
      </w:r>
    </w:p>
    <w:p>
      <w:pPr>
        <w:pStyle w:val="Heading2"/>
        <w:keepNext/>
        <w:keepLines/>
      </w:pPr>
      <w:r>
        <w:t>10.2 Martirosyan et al. — speed limit for spreading quantum coherence</w:t>
      </w:r>
    </w:p>
    <w:p>
      <w:r>
        <w:rPr>
          <w:b/>
        </w:rPr>
        <w:t xml:space="preserve">Earliest date used in this audit: </w:t>
      </w:r>
      <w:r>
        <w:t>10 October 2024 arXiv preprint; Nature publication 12 November 2025</w:t>
      </w:r>
    </w:p>
    <w:p>
      <w:pPr>
        <w:spacing w:before="120" w:after="60"/>
        <w:jc w:val="center"/>
      </w:pPr>
      <w:r>
        <w:rPr>
          <w:rFonts w:ascii="Cambria Math" w:hAnsi="Cambria Math"/>
          <w:b/>
          <w:sz w:val="25"/>
        </w:rPr>
        <w:t>ℓ(t) ∝ t^{1/2}</w:t>
      </w:r>
    </w:p>
    <w:p>
      <w:pPr>
        <w:spacing w:before="120" w:after="60"/>
        <w:jc w:val="center"/>
      </w:pPr>
      <w:r>
        <w:rPr>
          <w:rFonts w:ascii="Cambria Math" w:hAnsi="Cambria Math"/>
          <w:b/>
          <w:sz w:val="25"/>
        </w:rPr>
        <w:t>D ≡ dℓ²/dt</w:t>
      </w:r>
    </w:p>
    <w:p>
      <w:pPr>
        <w:spacing w:before="120" w:after="60"/>
        <w:jc w:val="center"/>
      </w:pPr>
      <w:r>
        <w:rPr>
          <w:rFonts w:ascii="Cambria Math" w:hAnsi="Cambria Math"/>
          <w:b/>
          <w:sz w:val="25"/>
        </w:rPr>
        <w:t>D = 3.4(3) · ħ/m  (combined experimental estimate)</w:t>
      </w:r>
    </w:p>
    <w:p>
      <w:r>
        <w:rPr>
          <w:b/>
        </w:rPr>
        <w:t xml:space="preserve">What it permits: </w:t>
      </w:r>
      <w:r>
        <w:t>Defines and measures a physical kinematics for coherence length growth in far-from-equilibrium Bose gases; establishes a universal rate within the stated physical class.</w:t>
      </w:r>
    </w:p>
    <w:p>
      <w:r>
        <w:rPr>
          <w:b/>
        </w:rPr>
        <w:t xml:space="preserve">Relation to Zoran: </w:t>
      </w:r>
      <w:r>
        <w:t>Skeleton: PROPAGATION SPEED. This is not an admissibility gauge or cross-domain persistence law. Relation E6/E3: a physical coherence observable/rate could be used inside a physical frame, but is not algebraically the Zoran law.</w:t>
      </w:r>
    </w:p>
    <w:p>
      <w:r>
        <w:rPr>
          <w:b/>
        </w:rPr>
        <w:t xml:space="preserve">Priority implication: </w:t>
      </w:r>
      <w:r>
        <w:t>This preprint predates Zoran’s November 2025 public equations, so generic priority for “kinematics of coherence” is not available to Zoran. A more specific multi-frame phenomenal kinematics claim would need separate proof.</w:t>
      </w:r>
    </w:p>
    <w:p>
      <w:pPr>
        <w:pStyle w:val="Bibliography"/>
        <w:spacing w:after="40"/>
      </w:pPr>
      <w:r>
        <w:t>Primary source: arXiv:2410.08204, first submitted 2024-10-10; journal DOI 10.1038/s41586-025-09735-z.</w:t>
      </w:r>
    </w:p>
    <w:p>
      <w:pPr>
        <w:pStyle w:val="Heading2"/>
        <w:keepNext/>
        <w:keepLines/>
      </w:pPr>
      <w:r>
        <w:t>10.3 Hu &amp; Fan — evolution equation for quantum coherence</w:t>
      </w:r>
    </w:p>
    <w:p>
      <w:r>
        <w:rPr>
          <w:b/>
        </w:rPr>
        <w:t xml:space="preserve">Earliest date used in this audit: </w:t>
      </w:r>
      <w:r>
        <w:t>2016</w:t>
      </w:r>
    </w:p>
    <w:p>
      <w:pPr>
        <w:spacing w:before="120" w:after="60"/>
        <w:jc w:val="center"/>
      </w:pPr>
      <w:r>
        <w:rPr>
          <w:rFonts w:ascii="Cambria Math" w:hAnsi="Cambria Math"/>
          <w:b/>
          <w:sz w:val="25"/>
        </w:rPr>
        <w:t>Q[E(ρ_n)] = Q(ρ_n) · Q[E(ρ_n^p)]</w:t>
      </w:r>
    </w:p>
    <w:p>
      <w:pPr>
        <w:spacing w:before="120" w:after="60"/>
        <w:jc w:val="center"/>
      </w:pPr>
      <w:r>
        <w:rPr>
          <w:rFonts w:ascii="Cambria Math" w:hAnsi="Cambria Math"/>
          <w:b/>
          <w:sz w:val="25"/>
        </w:rPr>
        <w:t>C_l1[E(ρ_n)] = C_l1(ρ_n) · C_l1[E(ρ_n^p)]</w:t>
      </w:r>
    </w:p>
    <w:p>
      <w:r>
        <w:rPr>
          <w:b/>
        </w:rPr>
        <w:t xml:space="preserve">What it permits: </w:t>
      </w:r>
      <w:r>
        <w:t>Factorizes the evolution of classes of quantum coherence measures under specified quantum channels/conditions.</w:t>
      </w:r>
    </w:p>
    <w:p>
      <w:r>
        <w:rPr>
          <w:b/>
        </w:rPr>
        <w:t xml:space="preserve">Relation to Zoran: </w:t>
      </w:r>
      <w:r>
        <w:t>Skeleton: multiplicative factorization. Scientific relation E3/E4 because the object is basis-dependent quantum coherence and the factorization conditions are domain specific.</w:t>
      </w:r>
    </w:p>
    <w:p>
      <w:r>
        <w:rPr>
          <w:b/>
        </w:rPr>
        <w:t xml:space="preserve">Priority implication: </w:t>
      </w:r>
      <w:r>
        <w:t>Strong prior art for the phrase “evolution equation for coherence”, but not for phenomenal admissibility or cross-domain persistence.</w:t>
      </w:r>
    </w:p>
    <w:p>
      <w:pPr>
        <w:pStyle w:val="Bibliography"/>
        <w:spacing w:after="40"/>
      </w:pPr>
      <w:r>
        <w:t>Primary source: Hu &amp; Fan, Scientific Reports 6, 29260 (2016), DOI 10.1038/srep29260.</w:t>
      </w:r>
    </w:p>
    <w:p>
      <w:pPr>
        <w:pStyle w:val="Heading2"/>
        <w:keepNext/>
        <w:keepLines/>
      </w:pPr>
      <w:r>
        <w:t>10.4 Devin Bostick — harmonic persistence and bounded drift</w:t>
      </w:r>
    </w:p>
    <w:p>
      <w:r>
        <w:rPr>
          <w:b/>
        </w:rPr>
        <w:t xml:space="preserve">Earliest date used in this audit: </w:t>
      </w:r>
      <w:r>
        <w:t>historical programme 2025; later formal stack 2026</w:t>
      </w:r>
    </w:p>
    <w:p>
      <w:pPr>
        <w:spacing w:before="120" w:after="60"/>
        <w:jc w:val="center"/>
      </w:pPr>
      <w:r>
        <w:rPr>
          <w:rFonts w:ascii="Cambria Math" w:hAnsi="Cambria Math"/>
          <w:b/>
          <w:sz w:val="25"/>
        </w:rPr>
        <w:t>Persistence ⇔ PAS_h ≥ θ_L  ∧  ΔPAS_ζ ≤ ε_drift</w:t>
      </w:r>
    </w:p>
    <w:p>
      <w:pPr>
        <w:spacing w:before="120" w:after="60"/>
        <w:jc w:val="center"/>
      </w:pPr>
      <w:r>
        <w:rPr>
          <w:rFonts w:ascii="Cambria Math" w:hAnsi="Cambria Math"/>
          <w:b/>
          <w:sz w:val="25"/>
        </w:rPr>
        <w:t>dC/dt = Γ C^n − λ C + η (∇S · ∇Ω)</w:t>
      </w:r>
    </w:p>
    <w:p>
      <w:r>
        <w:rPr>
          <w:b/>
        </w:rPr>
        <w:t xml:space="preserve">What it permits: </w:t>
      </w:r>
      <w:r>
        <w:t>Classifies persistence through harmonic alignment plus bounded drift; later work argues a coordinate relation between harmonic and differential forms under explicit assumptions.</w:t>
      </w:r>
    </w:p>
    <w:p>
      <w:r>
        <w:rPr>
          <w:b/>
        </w:rPr>
        <w:t xml:space="preserve">Relation to Zoran: </w:t>
      </w:r>
      <w:r>
        <w:t>Skeletons: THRESHOLD–DRIFT and ODE–GDL. Relation E4/E5. It is more specialized to phase/harmonic invariants than Zoran’s declared multi-proxy gauge.</w:t>
      </w:r>
    </w:p>
    <w:p>
      <w:r>
        <w:rPr>
          <w:b/>
        </w:rPr>
        <w:t xml:space="preserve">Priority implication: </w:t>
      </w:r>
      <w:r>
        <w:t>Parts of the PAS evolution programme precede Zoran November 2025. Later universal claims were subsequently narrowed/superseded by Bostick’s identity-persistence programme; chronology must preserve that evolution rather than quote every historical claim as current.</w:t>
      </w:r>
    </w:p>
    <w:p>
      <w:pPr>
        <w:pStyle w:val="Bibliography"/>
        <w:spacing w:after="40"/>
      </w:pPr>
      <w:r>
        <w:t>Sources: PhilArchive/ResearchGate Bostick corpus, including “PAS Evolution and Clarification” (2025) and Structured Resonance Dynamics papers; record-specific DOI/version audit continues in Pass 3.</w:t>
      </w:r>
    </w:p>
    <w:p>
      <w:pPr>
        <w:pStyle w:val="Heading2"/>
        <w:keepNext/>
        <w:keepLines/>
      </w:pPr>
      <w:r>
        <w:t>10.5 Andrew J. Paton — admissibility and reachability</w:t>
      </w:r>
    </w:p>
    <w:p>
      <w:r>
        <w:rPr>
          <w:b/>
        </w:rPr>
        <w:t xml:space="preserve">Earliest date used in this audit: </w:t>
      </w:r>
      <w:r>
        <w:t>20 February 2026</w:t>
      </w:r>
    </w:p>
    <w:p>
      <w:pPr>
        <w:spacing w:before="120" w:after="60"/>
        <w:jc w:val="center"/>
      </w:pPr>
      <w:r>
        <w:rPr>
          <w:rFonts w:ascii="Cambria Math" w:hAnsi="Cambria Math"/>
          <w:b/>
          <w:sz w:val="25"/>
        </w:rPr>
        <w:t>Continuation(s) ⇔ G(P(s)) = 1</w:t>
      </w:r>
    </w:p>
    <w:p>
      <w:pPr>
        <w:spacing w:before="120" w:after="60"/>
        <w:jc w:val="center"/>
      </w:pPr>
      <w:r>
        <w:rPr>
          <w:rFonts w:ascii="Cambria Math" w:hAnsi="Cambria Math"/>
          <w:b/>
          <w:sz w:val="25"/>
        </w:rPr>
        <w:t>State ∈ System ⇔ Admissible ∧ Reachable</w:t>
      </w:r>
    </w:p>
    <w:p>
      <w:r>
        <w:rPr>
          <w:b/>
        </w:rPr>
        <w:t xml:space="preserve">What it permits: </w:t>
      </w:r>
      <w:r>
        <w:t>Separates candidate-state generation, admissibility gating, and existence of at least one permissible path from an initial state.</w:t>
      </w:r>
    </w:p>
    <w:p>
      <w:r>
        <w:rPr>
          <w:b/>
        </w:rPr>
        <w:t xml:space="preserve">Relation to Zoran: </w:t>
      </w:r>
      <w:r>
        <w:t>Skeleton: PATH / REACHABILITY. Zoran threshold gates can emulate the Boolean admissibility gate, but reachability is not a simple algebraic rearrangement of S; relation E4.</w:t>
      </w:r>
    </w:p>
    <w:p>
      <w:r>
        <w:rPr>
          <w:b/>
        </w:rPr>
        <w:t xml:space="preserve">Priority implication: </w:t>
      </w:r>
      <w:r>
        <w:t>Paton is post-Zoran on coherence/admissibility/continuation themes. However, the exact reachability operator remains a real delta unless an explicit pre-20-Feb-2026 Zoran path-existence formula is recovered.</w:t>
      </w:r>
    </w:p>
    <w:p>
      <w:pPr>
        <w:pStyle w:val="Bibliography"/>
        <w:spacing w:after="40"/>
      </w:pPr>
      <w:r>
        <w:t>Primary sources: DOI 10.5281/zenodo.18707596 and DOI 10.5281/zenodo.18708653; PhilArchive version lists CC BY 4.0 for the Foundational Admissibility Framework.</w:t>
      </w:r>
    </w:p>
    <w:p>
      <w:pPr>
        <w:pStyle w:val="Heading2"/>
        <w:keepNext/>
        <w:keepLines/>
      </w:pPr>
      <w:r>
        <w:t>10.6 Matteo Bellori — preserved coherence under change</w:t>
      </w:r>
    </w:p>
    <w:p>
      <w:r>
        <w:rPr>
          <w:b/>
        </w:rPr>
        <w:t xml:space="preserve">Earliest date used in this audit: </w:t>
      </w:r>
      <w:r>
        <w:t>2026 (exact archive-day verification deferred)</w:t>
      </w:r>
    </w:p>
    <w:p>
      <w:pPr>
        <w:spacing w:before="120" w:after="60"/>
        <w:jc w:val="center"/>
      </w:pPr>
      <w:r>
        <w:rPr>
          <w:rFonts w:ascii="Cambria Math" w:hAnsi="Cambria Math"/>
          <w:b/>
          <w:sz w:val="25"/>
        </w:rPr>
        <w:t>O(C_i,C_{i+1}) = |R_i ∩ R_{i+1}| / |R_i ∪ R_{i+1}|</w:t>
      </w:r>
    </w:p>
    <w:p>
      <w:pPr>
        <w:spacing w:before="120" w:after="60"/>
        <w:jc w:val="center"/>
      </w:pPr>
      <w:r>
        <w:rPr>
          <w:rFonts w:ascii="Cambria Math" w:hAnsi="Cambria Math"/>
          <w:b/>
          <w:sz w:val="25"/>
        </w:rPr>
        <w:t>Preserved Coherence ⇔ O(C_i,C_{i+1}) ≥ θ</w:t>
      </w:r>
    </w:p>
    <w:p>
      <w:pPr>
        <w:spacing w:before="120" w:after="60"/>
        <w:jc w:val="center"/>
      </w:pPr>
      <w:r>
        <w:rPr>
          <w:rFonts w:ascii="Cambria Math" w:hAnsi="Cambria Math"/>
          <w:b/>
          <w:sz w:val="25"/>
        </w:rPr>
        <w:t>S_B = (T · R · D) / (1 + ΔS)</w:t>
      </w:r>
    </w:p>
    <w:p>
      <w:r>
        <w:rPr>
          <w:b/>
        </w:rPr>
        <w:t xml:space="preserve">What it permits: </w:t>
      </w:r>
      <w:r>
        <w:t>Measures relational overlap between successive configurations, defines tolerance domains, and combines tolerance, robustness and dissipation against relative multiplicity.</w:t>
      </w:r>
    </w:p>
    <w:p>
      <w:r>
        <w:rPr>
          <w:b/>
        </w:rPr>
        <w:t xml:space="preserve">Relation to Zoran: </w:t>
      </w:r>
      <w:r>
        <w:t>Skeletons: OVERLAP / TOLERANCE and RATIO. The final stability ratio resembles Zoran at skeleton level only; no E1 equivalence is established because variables and semantics differ.</w:t>
      </w:r>
    </w:p>
    <w:p>
      <w:r>
        <w:rPr>
          <w:b/>
        </w:rPr>
        <w:t xml:space="preserve">Priority implication: </w:t>
      </w:r>
      <w:r>
        <w:t>Post-Zoran convergence. Useful as an independent formalization of identity preservation under change, not as a historical source of Zoran.</w:t>
      </w:r>
    </w:p>
    <w:p>
      <w:pPr>
        <w:pStyle w:val="Bibliography"/>
        <w:spacing w:after="40"/>
      </w:pPr>
      <w:r>
        <w:t>Primary archive: Matteo Bellori, “The Principle of Preserved Coherence Under Change”, PhilArchive BELTPO-39. Public record marked all rights reserved in the source inspected.</w:t>
      </w:r>
    </w:p>
    <w:p>
      <w:pPr>
        <w:pStyle w:val="Heading2"/>
        <w:keepNext/>
        <w:keepLines/>
      </w:pPr>
      <w:r>
        <w:t>10.7 Abdulsalam Al-Mayahi — structural persistence dynamics</w:t>
      </w:r>
    </w:p>
    <w:p>
      <w:r>
        <w:rPr>
          <w:b/>
        </w:rPr>
        <w:t xml:space="preserve">Earliest date used in this audit: </w:t>
      </w:r>
      <w:r>
        <w:t>2026</w:t>
      </w:r>
    </w:p>
    <w:p>
      <w:pPr>
        <w:spacing w:before="120" w:after="60"/>
        <w:jc w:val="center"/>
      </w:pPr>
      <w:r>
        <w:rPr>
          <w:rFonts w:ascii="Cambria Math" w:hAnsi="Cambria Math"/>
          <w:b/>
          <w:sz w:val="25"/>
        </w:rPr>
        <w:t>C_i = I(S_i;E) / H(S_i)</w:t>
      </w:r>
    </w:p>
    <w:p>
      <w:pPr>
        <w:spacing w:before="120" w:after="60"/>
        <w:jc w:val="center"/>
      </w:pPr>
      <w:r>
        <w:rPr>
          <w:rFonts w:ascii="Cambria Math" w:hAnsi="Cambria Math"/>
          <w:b/>
          <w:sz w:val="25"/>
        </w:rPr>
        <w:t>dW_i/dt = γ · (C_i − C_crit) · W_i</w:t>
      </w:r>
    </w:p>
    <w:p>
      <w:r>
        <w:rPr>
          <w:b/>
        </w:rPr>
        <w:t xml:space="preserve">What it permits: </w:t>
      </w:r>
      <w:r>
        <w:t>Defines an information-theoretic coherence variable and an explicit multiplicative growth/decay law for persistence across a threshold.</w:t>
      </w:r>
    </w:p>
    <w:p>
      <w:r>
        <w:rPr>
          <w:b/>
        </w:rPr>
        <w:t xml:space="preserve">Relation to Zoran: </w:t>
      </w:r>
      <w:r>
        <w:t>Skeleton: ODE–GDL / threshold. Relation E4: it adds a persistence state W and differential dynamics that are not algebraically contained in the scalar Zoran gauge.</w:t>
      </w:r>
    </w:p>
    <w:p>
      <w:r>
        <w:rPr>
          <w:b/>
        </w:rPr>
        <w:t xml:space="preserve">Priority implication: </w:t>
      </w:r>
      <w:r>
        <w:t>Post-Zoran on this formulation. Mathematically valuable, but record-specific licence and patent claims mean scientific comparison must be kept separate from software reuse.</w:t>
      </w:r>
    </w:p>
    <w:p>
      <w:pPr>
        <w:pStyle w:val="Bibliography"/>
        <w:spacing w:after="40"/>
      </w:pPr>
      <w:r>
        <w:t>Primary source: DOI 10.5281/zenodo.19185301 / ResearchGate full-text mirror; companion DOI 10.5281/zenodo.19056454.</w:t>
      </w:r>
    </w:p>
    <w:p>
      <w:pPr>
        <w:pStyle w:val="Heading2"/>
        <w:keepNext/>
        <w:keepLines/>
      </w:pPr>
      <w:r>
        <w:t>10.8 Jimenez et al. — coherence cost as a model-selection prior</w:t>
      </w:r>
    </w:p>
    <w:p>
      <w:r>
        <w:rPr>
          <w:b/>
        </w:rPr>
        <w:t xml:space="preserve">Earliest date used in this audit: </w:t>
      </w:r>
      <w:r>
        <w:t>16 June 2026</w:t>
      </w:r>
    </w:p>
    <w:p>
      <w:pPr>
        <w:spacing w:before="120" w:after="60"/>
        <w:jc w:val="center"/>
      </w:pPr>
      <w:r>
        <w:rPr>
          <w:rFonts w:ascii="Cambria Math" w:hAnsi="Cambria Math"/>
          <w:b/>
          <w:sz w:val="25"/>
        </w:rPr>
        <w:t>C(M|T) = Σ_i w_i δ_i(M,T)</w:t>
      </w:r>
    </w:p>
    <w:p>
      <w:pPr>
        <w:spacing w:before="120" w:after="60"/>
        <w:jc w:val="center"/>
      </w:pPr>
      <w:r>
        <w:rPr>
          <w:rFonts w:ascii="Cambria Math" w:hAnsi="Cambria Math"/>
          <w:b/>
          <w:sz w:val="25"/>
        </w:rPr>
        <w:t>P(M|T) ∝ exp[−α · C(M|T)]</w:t>
      </w:r>
    </w:p>
    <w:p>
      <w:r>
        <w:rPr>
          <w:b/>
        </w:rPr>
        <w:t xml:space="preserve">What it permits: </w:t>
      </w:r>
      <w:r>
        <w:t>Turns departures from the validated “grammar” of a theory into a reproducible prior penalty for Bayesian model selection.</w:t>
      </w:r>
    </w:p>
    <w:p>
      <w:r>
        <w:rPr>
          <w:b/>
        </w:rPr>
        <w:t xml:space="preserve">Relation to Zoran: </w:t>
      </w:r>
      <w:r>
        <w:t>Skeleton: COST / PRIOR. Scientific relation E6/E3: coherence here means compatibility with established theoretical structure, not system persistence. The explicit guard against compensating one structural violation with unrelated explanatory credit is nevertheless a notable convergence with non-compensation logic.</w:t>
      </w:r>
    </w:p>
    <w:p>
      <w:r>
        <w:rPr>
          <w:b/>
        </w:rPr>
        <w:t xml:space="preserve">Priority implication: </w:t>
      </w:r>
      <w:r>
        <w:t>Post-Zoran independent convergence; no priority conflict with Z1’s physical/phenomenal admissibility claim because the mathematical object is different.</w:t>
      </w:r>
    </w:p>
    <w:p>
      <w:pPr>
        <w:pStyle w:val="Bibliography"/>
        <w:spacing w:after="40"/>
      </w:pPr>
      <w:r>
        <w:t>Primary source: arXiv:2606.18491, submitted 2026-06-16.</w:t>
      </w:r>
    </w:p>
    <w:p>
      <w:pPr>
        <w:pStyle w:val="Heading2"/>
        <w:keepNext/>
        <w:keepLines/>
      </w:pPr>
      <w:r>
        <w:t>10.9 Exact-primary-form extraction still pending</w:t>
      </w:r>
    </w:p>
    <w:p>
      <w:r>
        <w:rPr>
          <w:b/>
        </w:rPr>
        <w:t xml:space="preserve">ALLISON HENSGEN — </w:t>
      </w:r>
      <w:r>
        <w:t>Public metadata establish alignment/phase/variability, Δ.72 threshold, and later field/tensor/PDE architecture, but the complete primary equations were not reliably extractable in Pass 2. They remain PENDING rather than reconstructed.</w:t>
      </w:r>
    </w:p>
    <w:p>
      <w:r>
        <w:rPr>
          <w:b/>
        </w:rPr>
        <w:t xml:space="preserve">YANG ET AL. — </w:t>
      </w:r>
      <w:r>
        <w:t>The peer-reviewed photonics paper explicitly reports a coherence uncertainty principle and a strong energy-duality equality, but the equations are rendered as images in the accessible web view. Exact symbolic extraction remains PENDING.</w:t>
      </w:r>
    </w:p>
    <w:p>
      <w:r>
        <w:rPr>
          <w:b/>
        </w:rPr>
        <w:t xml:space="preserve">LEGACY ZORAN Z-092…Z-119 — </w:t>
      </w:r>
      <w:r>
        <w:t>Direct repository searches for Z-092 and Z-119 returned no hits. The gap remains documentary; no formulas were generated to fill it retroactively.</w:t>
      </w:r>
    </w:p>
    <w:p>
      <w:pPr>
        <w:pStyle w:val="Heading1"/>
        <w:keepNext/>
        <w:keepLines/>
      </w:pPr>
      <w:r>
        <w:t>11. First transformation / non-equivalence matrix</w:t>
      </w:r>
    </w:p>
    <w:tbl>
      <w:tblPr>
        <w:tblStyle w:val="TableGrid"/>
        <w:tblW w:type="auto" w:w="0"/>
        <w:jc w:val="center"/>
        <w:tblLook w:firstColumn="1" w:firstRow="1" w:lastColumn="0" w:lastRow="0" w:noHBand="0" w:noVBand="1" w:val="04A0"/>
      </w:tblPr>
      <w:tblGrid>
        <w:gridCol w:w="1625"/>
        <w:gridCol w:w="1625"/>
        <w:gridCol w:w="1625"/>
        <w:gridCol w:w="1625"/>
        <w:gridCol w:w="1625"/>
        <w:gridCol w:w="1625"/>
      </w:tblGrid>
      <w:tr>
        <w:trPr>
          <w:tblHeader w:val="true"/>
        </w:trPr>
        <w:tc>
          <w:tcPr>
            <w:tcW w:type="dxa" w:w="1625"/>
            <w:shd w:fill="CFE0E8"/>
          </w:tcPr>
          <w:p>
            <w:r>
              <w:t>Source form</w:t>
            </w:r>
          </w:p>
        </w:tc>
        <w:tc>
          <w:tcPr>
            <w:tcW w:type="dxa" w:w="1625"/>
            <w:shd w:fill="CFE0E8"/>
          </w:tcPr>
          <w:p>
            <w:r>
              <w:t>Skeleton</w:t>
            </w:r>
          </w:p>
        </w:tc>
        <w:tc>
          <w:tcPr>
            <w:tcW w:type="dxa" w:w="1625"/>
            <w:shd w:fill="CFE0E8"/>
          </w:tcPr>
          <w:p>
            <w:r>
              <w:t>Potential mapping to Zoran</w:t>
            </w:r>
          </w:p>
        </w:tc>
        <w:tc>
          <w:tcPr>
            <w:tcW w:type="dxa" w:w="1625"/>
            <w:shd w:fill="CFE0E8"/>
          </w:tcPr>
          <w:p>
            <w:r>
              <w:t>E-class</w:t>
            </w:r>
          </w:p>
        </w:tc>
        <w:tc>
          <w:tcPr>
            <w:tcW w:type="dxa" w:w="1625"/>
            <w:shd w:fill="CFE0E8"/>
          </w:tcPr>
          <w:p>
            <w:r>
              <w:t>Certificate status</w:t>
            </w:r>
          </w:p>
        </w:tc>
        <w:tc>
          <w:tcPr>
            <w:tcW w:type="dxa" w:w="1625"/>
            <w:shd w:fill="CFE0E8"/>
          </w:tcPr>
          <w:p>
            <w:r>
              <w:t>Why it matters</w:t>
            </w:r>
          </w:p>
        </w:tc>
      </w:tr>
      <w:tr>
        <w:tc>
          <w:tcPr>
            <w:tcW w:type="dxa" w:w="1625"/>
            <w:tcMar>
              <w:top w:w="35" w:type="dxa"/>
              <w:start w:w="35" w:type="dxa"/>
              <w:bottom w:w="35" w:type="dxa"/>
              <w:end w:w="35" w:type="dxa"/>
            </w:tcMar>
            <w:vAlign w:val="top"/>
          </w:tcPr>
          <w:p>
            <w:pPr>
              <w:spacing w:after="0"/>
            </w:pPr>
            <w:r>
              <w:rPr>
                <w:sz w:val="14"/>
              </w:rPr>
              <w:t>UCP equilibrium C_eq=αRWA/β</w:t>
            </w:r>
          </w:p>
        </w:tc>
        <w:tc>
          <w:tcPr>
            <w:tcW w:type="dxa" w:w="1625"/>
            <w:tcMar>
              <w:top w:w="35" w:type="dxa"/>
              <w:start w:w="35" w:type="dxa"/>
              <w:bottom w:w="35" w:type="dxa"/>
              <w:end w:w="35" w:type="dxa"/>
            </w:tcMar>
            <w:vAlign w:val="top"/>
          </w:tcPr>
          <w:p>
            <w:pPr>
              <w:spacing w:after="0"/>
            </w:pPr>
            <w:r>
              <w:rPr>
                <w:sz w:val="14"/>
              </w:rPr>
              <w:t>RATIO</w:t>
            </w:r>
          </w:p>
        </w:tc>
        <w:tc>
          <w:tcPr>
            <w:tcW w:type="dxa" w:w="1625"/>
            <w:tcMar>
              <w:top w:w="35" w:type="dxa"/>
              <w:start w:w="35" w:type="dxa"/>
              <w:bottom w:w="35" w:type="dxa"/>
              <w:end w:w="35" w:type="dxa"/>
            </w:tcMar>
            <w:vAlign w:val="top"/>
          </w:tcPr>
          <w:p>
            <w:pPr>
              <w:spacing w:after="0"/>
            </w:pPr>
            <w:r>
              <w:rPr>
                <w:sz w:val="14"/>
              </w:rPr>
              <w:t>Map productive factors to numerator and loss β to denominator only at abstract skeleton level</w:t>
            </w:r>
          </w:p>
        </w:tc>
        <w:tc>
          <w:tcPr>
            <w:tcW w:type="dxa" w:w="1625"/>
            <w:tcMar>
              <w:top w:w="35" w:type="dxa"/>
              <w:start w:w="35" w:type="dxa"/>
              <w:bottom w:w="35" w:type="dxa"/>
              <w:end w:w="35" w:type="dxa"/>
            </w:tcMar>
            <w:vAlign w:val="top"/>
          </w:tcPr>
          <w:p>
            <w:pPr>
              <w:spacing w:after="0"/>
            </w:pPr>
            <w:r>
              <w:rPr>
                <w:sz w:val="14"/>
              </w:rPr>
              <w:t>E5</w:t>
            </w:r>
          </w:p>
        </w:tc>
        <w:tc>
          <w:tcPr>
            <w:tcW w:type="dxa" w:w="1625"/>
            <w:tcMar>
              <w:top w:w="35" w:type="dxa"/>
              <w:start w:w="35" w:type="dxa"/>
              <w:bottom w:w="35" w:type="dxa"/>
              <w:end w:w="35" w:type="dxa"/>
            </w:tcMar>
            <w:vAlign w:val="top"/>
          </w:tcPr>
          <w:p>
            <w:pPr>
              <w:spacing w:after="0"/>
            </w:pPr>
            <w:r>
              <w:rPr>
                <w:sz w:val="14"/>
              </w:rPr>
              <w:t>NON-EQUIVALENCE scientifically; analogy demonstrated</w:t>
            </w:r>
          </w:p>
        </w:tc>
        <w:tc>
          <w:tcPr>
            <w:tcW w:type="dxa" w:w="1625"/>
            <w:tcMar>
              <w:top w:w="35" w:type="dxa"/>
              <w:start w:w="35" w:type="dxa"/>
              <w:bottom w:w="35" w:type="dxa"/>
              <w:end w:w="35" w:type="dxa"/>
            </w:tcMar>
            <w:vAlign w:val="top"/>
          </w:tcPr>
          <w:p>
            <w:pPr>
              <w:spacing w:after="0"/>
            </w:pPr>
            <w:r>
              <w:rPr>
                <w:sz w:val="14"/>
              </w:rPr>
              <w:t>Shows ratio skeleton is not unique to Zoran.</w:t>
            </w:r>
          </w:p>
        </w:tc>
      </w:tr>
      <w:tr>
        <w:tc>
          <w:tcPr>
            <w:tcW w:type="dxa" w:w="1625"/>
            <w:tcMar>
              <w:top w:w="35" w:type="dxa"/>
              <w:start w:w="35" w:type="dxa"/>
              <w:bottom w:w="35" w:type="dxa"/>
              <w:end w:w="35" w:type="dxa"/>
            </w:tcMar>
            <w:vAlign w:val="top"/>
          </w:tcPr>
          <w:p>
            <w:pPr>
              <w:spacing w:after="0"/>
            </w:pPr>
            <w:r>
              <w:rPr>
                <w:sz w:val="14"/>
              </w:rPr>
              <w:t>UCP dC/dt</w:t>
            </w:r>
          </w:p>
        </w:tc>
        <w:tc>
          <w:tcPr>
            <w:tcW w:type="dxa" w:w="1625"/>
            <w:tcMar>
              <w:top w:w="35" w:type="dxa"/>
              <w:start w:w="35" w:type="dxa"/>
              <w:bottom w:w="35" w:type="dxa"/>
              <w:end w:w="35" w:type="dxa"/>
            </w:tcMar>
            <w:vAlign w:val="top"/>
          </w:tcPr>
          <w:p>
            <w:pPr>
              <w:spacing w:after="0"/>
            </w:pPr>
            <w:r>
              <w:rPr>
                <w:sz w:val="14"/>
              </w:rPr>
              <w:t>ODE–GDL</w:t>
            </w:r>
          </w:p>
        </w:tc>
        <w:tc>
          <w:tcPr>
            <w:tcW w:type="dxa" w:w="1625"/>
            <w:tcMar>
              <w:top w:w="35" w:type="dxa"/>
              <w:start w:w="35" w:type="dxa"/>
              <w:bottom w:w="35" w:type="dxa"/>
              <w:end w:w="35" w:type="dxa"/>
            </w:tcMar>
            <w:vAlign w:val="top"/>
          </w:tcPr>
          <w:p>
            <w:pPr>
              <w:spacing w:after="0"/>
            </w:pPr>
            <w:r>
              <w:rPr>
                <w:sz w:val="14"/>
              </w:rPr>
              <w:t>No algebraic reduction from static S without adding state/time law</w:t>
            </w:r>
          </w:p>
        </w:tc>
        <w:tc>
          <w:tcPr>
            <w:tcW w:type="dxa" w:w="1625"/>
            <w:tcMar>
              <w:top w:w="35" w:type="dxa"/>
              <w:start w:w="35" w:type="dxa"/>
              <w:bottom w:w="35" w:type="dxa"/>
              <w:end w:w="35" w:type="dxa"/>
            </w:tcMar>
            <w:vAlign w:val="top"/>
          </w:tcPr>
          <w:p>
            <w:pPr>
              <w:spacing w:after="0"/>
            </w:pPr>
            <w:r>
              <w:rPr>
                <w:sz w:val="14"/>
              </w:rPr>
              <w:t>E4</w:t>
            </w:r>
          </w:p>
        </w:tc>
        <w:tc>
          <w:tcPr>
            <w:tcW w:type="dxa" w:w="1625"/>
            <w:tcMar>
              <w:top w:w="35" w:type="dxa"/>
              <w:start w:w="35" w:type="dxa"/>
              <w:bottom w:w="35" w:type="dxa"/>
              <w:end w:w="35" w:type="dxa"/>
            </w:tcMar>
            <w:vAlign w:val="top"/>
          </w:tcPr>
          <w:p>
            <w:pPr>
              <w:spacing w:after="0"/>
            </w:pPr>
            <w:r>
              <w:rPr>
                <w:sz w:val="14"/>
              </w:rPr>
              <w:t>EXTENSION demonstrated</w:t>
            </w:r>
          </w:p>
        </w:tc>
        <w:tc>
          <w:tcPr>
            <w:tcW w:type="dxa" w:w="1625"/>
            <w:tcMar>
              <w:top w:w="35" w:type="dxa"/>
              <w:start w:w="35" w:type="dxa"/>
              <w:bottom w:w="35" w:type="dxa"/>
              <w:end w:w="35" w:type="dxa"/>
            </w:tcMar>
            <w:vAlign w:val="top"/>
          </w:tcPr>
          <w:p>
            <w:pPr>
              <w:spacing w:after="0"/>
            </w:pPr>
            <w:r>
              <w:rPr>
                <w:sz w:val="14"/>
              </w:rPr>
              <w:t>Pre-Zoran cross-domain dynamics.</w:t>
            </w:r>
          </w:p>
        </w:tc>
      </w:tr>
      <w:tr>
        <w:tc>
          <w:tcPr>
            <w:tcW w:type="dxa" w:w="1625"/>
            <w:tcMar>
              <w:top w:w="35" w:type="dxa"/>
              <w:start w:w="35" w:type="dxa"/>
              <w:bottom w:w="35" w:type="dxa"/>
              <w:end w:w="35" w:type="dxa"/>
            </w:tcMar>
            <w:vAlign w:val="top"/>
          </w:tcPr>
          <w:p>
            <w:pPr>
              <w:spacing w:after="0"/>
            </w:pPr>
            <w:r>
              <w:rPr>
                <w:sz w:val="14"/>
              </w:rPr>
              <w:t>Martirosyan D=dℓ²/dt</w:t>
            </w:r>
          </w:p>
        </w:tc>
        <w:tc>
          <w:tcPr>
            <w:tcW w:type="dxa" w:w="1625"/>
            <w:tcMar>
              <w:top w:w="35" w:type="dxa"/>
              <w:start w:w="35" w:type="dxa"/>
              <w:bottom w:w="35" w:type="dxa"/>
              <w:end w:w="35" w:type="dxa"/>
            </w:tcMar>
            <w:vAlign w:val="top"/>
          </w:tcPr>
          <w:p>
            <w:pPr>
              <w:spacing w:after="0"/>
            </w:pPr>
            <w:r>
              <w:rPr>
                <w:sz w:val="14"/>
              </w:rPr>
              <w:t>PROPAGATION SPEED</w:t>
            </w:r>
          </w:p>
        </w:tc>
        <w:tc>
          <w:tcPr>
            <w:tcW w:type="dxa" w:w="1625"/>
            <w:tcMar>
              <w:top w:w="35" w:type="dxa"/>
              <w:start w:w="35" w:type="dxa"/>
              <w:bottom w:w="35" w:type="dxa"/>
              <w:end w:w="35" w:type="dxa"/>
            </w:tcMar>
            <w:vAlign w:val="top"/>
          </w:tcPr>
          <w:p>
            <w:pPr>
              <w:spacing w:after="0"/>
            </w:pPr>
            <w:r>
              <w:rPr>
                <w:sz w:val="14"/>
              </w:rPr>
              <w:t>Could be an observable/proxy within a quantum frame</w:t>
            </w:r>
          </w:p>
        </w:tc>
        <w:tc>
          <w:tcPr>
            <w:tcW w:type="dxa" w:w="1625"/>
            <w:tcMar>
              <w:top w:w="35" w:type="dxa"/>
              <w:start w:w="35" w:type="dxa"/>
              <w:bottom w:w="35" w:type="dxa"/>
              <w:end w:w="35" w:type="dxa"/>
            </w:tcMar>
            <w:vAlign w:val="top"/>
          </w:tcPr>
          <w:p>
            <w:pPr>
              <w:spacing w:after="0"/>
            </w:pPr>
            <w:r>
              <w:rPr>
                <w:sz w:val="14"/>
              </w:rPr>
              <w:t>E3/E6</w:t>
            </w:r>
          </w:p>
        </w:tc>
        <w:tc>
          <w:tcPr>
            <w:tcW w:type="dxa" w:w="1625"/>
            <w:tcMar>
              <w:top w:w="35" w:type="dxa"/>
              <w:start w:w="35" w:type="dxa"/>
              <w:bottom w:w="35" w:type="dxa"/>
              <w:end w:w="35" w:type="dxa"/>
            </w:tcMar>
            <w:vAlign w:val="top"/>
          </w:tcPr>
          <w:p>
            <w:pPr>
              <w:spacing w:after="0"/>
            </w:pPr>
            <w:r>
              <w:rPr>
                <w:sz w:val="14"/>
              </w:rPr>
              <w:t>DISTINCT object demonstrated</w:t>
            </w:r>
          </w:p>
        </w:tc>
        <w:tc>
          <w:tcPr>
            <w:tcW w:type="dxa" w:w="1625"/>
            <w:tcMar>
              <w:top w:w="35" w:type="dxa"/>
              <w:start w:w="35" w:type="dxa"/>
              <w:bottom w:w="35" w:type="dxa"/>
              <w:end w:w="35" w:type="dxa"/>
            </w:tcMar>
            <w:vAlign w:val="top"/>
          </w:tcPr>
          <w:p>
            <w:pPr>
              <w:spacing w:after="0"/>
            </w:pPr>
            <w:r>
              <w:rPr>
                <w:sz w:val="14"/>
              </w:rPr>
              <w:t>Pre-Zoran physical coherence kinematics.</w:t>
            </w:r>
          </w:p>
        </w:tc>
      </w:tr>
      <w:tr>
        <w:tc>
          <w:tcPr>
            <w:tcW w:type="dxa" w:w="1625"/>
            <w:tcMar>
              <w:top w:w="35" w:type="dxa"/>
              <w:start w:w="35" w:type="dxa"/>
              <w:bottom w:w="35" w:type="dxa"/>
              <w:end w:w="35" w:type="dxa"/>
            </w:tcMar>
            <w:vAlign w:val="top"/>
          </w:tcPr>
          <w:p>
            <w:pPr>
              <w:spacing w:after="0"/>
            </w:pPr>
            <w:r>
              <w:rPr>
                <w:sz w:val="14"/>
              </w:rPr>
              <w:t>Hu–Fan factorization</w:t>
            </w:r>
          </w:p>
        </w:tc>
        <w:tc>
          <w:tcPr>
            <w:tcW w:type="dxa" w:w="1625"/>
            <w:tcMar>
              <w:top w:w="35" w:type="dxa"/>
              <w:start w:w="35" w:type="dxa"/>
              <w:bottom w:w="35" w:type="dxa"/>
              <w:end w:w="35" w:type="dxa"/>
            </w:tcMar>
            <w:vAlign w:val="top"/>
          </w:tcPr>
          <w:p>
            <w:pPr>
              <w:spacing w:after="0"/>
            </w:pPr>
            <w:r>
              <w:rPr>
                <w:sz w:val="14"/>
              </w:rPr>
              <w:t>Factorization</w:t>
            </w:r>
          </w:p>
        </w:tc>
        <w:tc>
          <w:tcPr>
            <w:tcW w:type="dxa" w:w="1625"/>
            <w:tcMar>
              <w:top w:w="35" w:type="dxa"/>
              <w:start w:w="35" w:type="dxa"/>
              <w:bottom w:w="35" w:type="dxa"/>
              <w:end w:w="35" w:type="dxa"/>
            </w:tcMar>
            <w:vAlign w:val="top"/>
          </w:tcPr>
          <w:p>
            <w:pPr>
              <w:spacing w:after="0"/>
            </w:pPr>
            <w:r>
              <w:rPr>
                <w:sz w:val="14"/>
              </w:rPr>
              <w:t>Can instantiate a quantum-frame observable; no universal mapping</w:t>
            </w:r>
          </w:p>
        </w:tc>
        <w:tc>
          <w:tcPr>
            <w:tcW w:type="dxa" w:w="1625"/>
            <w:tcMar>
              <w:top w:w="35" w:type="dxa"/>
              <w:start w:w="35" w:type="dxa"/>
              <w:bottom w:w="35" w:type="dxa"/>
              <w:end w:w="35" w:type="dxa"/>
            </w:tcMar>
            <w:vAlign w:val="top"/>
          </w:tcPr>
          <w:p>
            <w:pPr>
              <w:spacing w:after="0"/>
            </w:pPr>
            <w:r>
              <w:rPr>
                <w:sz w:val="14"/>
              </w:rPr>
              <w:t>E3/E4</w:t>
            </w:r>
          </w:p>
        </w:tc>
        <w:tc>
          <w:tcPr>
            <w:tcW w:type="dxa" w:w="1625"/>
            <w:tcMar>
              <w:top w:w="35" w:type="dxa"/>
              <w:start w:w="35" w:type="dxa"/>
              <w:bottom w:w="35" w:type="dxa"/>
              <w:end w:w="35" w:type="dxa"/>
            </w:tcMar>
            <w:vAlign w:val="top"/>
          </w:tcPr>
          <w:p>
            <w:pPr>
              <w:spacing w:after="0"/>
            </w:pPr>
            <w:r>
              <w:rPr>
                <w:sz w:val="14"/>
              </w:rPr>
              <w:t>DISTINCT domain law</w:t>
            </w:r>
          </w:p>
        </w:tc>
        <w:tc>
          <w:tcPr>
            <w:tcW w:type="dxa" w:w="1625"/>
            <w:tcMar>
              <w:top w:w="35" w:type="dxa"/>
              <w:start w:w="35" w:type="dxa"/>
              <w:bottom w:w="35" w:type="dxa"/>
              <w:end w:w="35" w:type="dxa"/>
            </w:tcMar>
            <w:vAlign w:val="top"/>
          </w:tcPr>
          <w:p>
            <w:pPr>
              <w:spacing w:after="0"/>
            </w:pPr>
            <w:r>
              <w:rPr>
                <w:sz w:val="14"/>
              </w:rPr>
              <w:t>Pre-Zoran mathematical evolution of quantum coherence.</w:t>
            </w:r>
          </w:p>
        </w:tc>
      </w:tr>
      <w:tr>
        <w:tc>
          <w:tcPr>
            <w:tcW w:type="dxa" w:w="1625"/>
            <w:tcMar>
              <w:top w:w="35" w:type="dxa"/>
              <w:start w:w="35" w:type="dxa"/>
              <w:bottom w:w="35" w:type="dxa"/>
              <w:end w:w="35" w:type="dxa"/>
            </w:tcMar>
            <w:vAlign w:val="top"/>
          </w:tcPr>
          <w:p>
            <w:pPr>
              <w:spacing w:after="0"/>
            </w:pPr>
            <w:r>
              <w:rPr>
                <w:sz w:val="14"/>
              </w:rPr>
              <w:t>Bostick PAS threshold+drift</w:t>
            </w:r>
          </w:p>
        </w:tc>
        <w:tc>
          <w:tcPr>
            <w:tcW w:type="dxa" w:w="1625"/>
            <w:tcMar>
              <w:top w:w="35" w:type="dxa"/>
              <w:start w:w="35" w:type="dxa"/>
              <w:bottom w:w="35" w:type="dxa"/>
              <w:end w:w="35" w:type="dxa"/>
            </w:tcMar>
            <w:vAlign w:val="top"/>
          </w:tcPr>
          <w:p>
            <w:pPr>
              <w:spacing w:after="0"/>
            </w:pPr>
            <w:r>
              <w:rPr>
                <w:sz w:val="14"/>
              </w:rPr>
              <w:t>THRESHOLD–DRIFT</w:t>
            </w:r>
          </w:p>
        </w:tc>
        <w:tc>
          <w:tcPr>
            <w:tcW w:type="dxa" w:w="1625"/>
            <w:tcMar>
              <w:top w:w="35" w:type="dxa"/>
              <w:start w:w="35" w:type="dxa"/>
              <w:bottom w:w="35" w:type="dxa"/>
              <w:end w:w="35" w:type="dxa"/>
            </w:tcMar>
            <w:vAlign w:val="top"/>
          </w:tcPr>
          <w:p>
            <w:pPr>
              <w:spacing w:after="0"/>
            </w:pPr>
            <w:r>
              <w:rPr>
                <w:sz w:val="14"/>
              </w:rPr>
              <w:t>Threshold compatible with a gate; harmonic invariant and drift bound are additional definitions</w:t>
            </w:r>
          </w:p>
        </w:tc>
        <w:tc>
          <w:tcPr>
            <w:tcW w:type="dxa" w:w="1625"/>
            <w:tcMar>
              <w:top w:w="35" w:type="dxa"/>
              <w:start w:w="35" w:type="dxa"/>
              <w:bottom w:w="35" w:type="dxa"/>
              <w:end w:w="35" w:type="dxa"/>
            </w:tcMar>
            <w:vAlign w:val="top"/>
          </w:tcPr>
          <w:p>
            <w:pPr>
              <w:spacing w:after="0"/>
            </w:pPr>
            <w:r>
              <w:rPr>
                <w:sz w:val="14"/>
              </w:rPr>
              <w:t>E4/E5</w:t>
            </w:r>
          </w:p>
        </w:tc>
        <w:tc>
          <w:tcPr>
            <w:tcW w:type="dxa" w:w="1625"/>
            <w:tcMar>
              <w:top w:w="35" w:type="dxa"/>
              <w:start w:w="35" w:type="dxa"/>
              <w:bottom w:w="35" w:type="dxa"/>
              <w:end w:w="35" w:type="dxa"/>
            </w:tcMar>
            <w:vAlign w:val="top"/>
          </w:tcPr>
          <w:p>
            <w:pPr>
              <w:spacing w:after="0"/>
            </w:pPr>
            <w:r>
              <w:rPr>
                <w:sz w:val="14"/>
              </w:rPr>
              <w:t>PARTIAL structural mapping</w:t>
            </w:r>
          </w:p>
        </w:tc>
        <w:tc>
          <w:tcPr>
            <w:tcW w:type="dxa" w:w="1625"/>
            <w:tcMar>
              <w:top w:w="35" w:type="dxa"/>
              <w:start w:w="35" w:type="dxa"/>
              <w:bottom w:w="35" w:type="dxa"/>
              <w:end w:w="35" w:type="dxa"/>
            </w:tcMar>
            <w:vAlign w:val="top"/>
          </w:tcPr>
          <w:p>
            <w:pPr>
              <w:spacing w:after="0"/>
            </w:pPr>
            <w:r>
              <w:rPr>
                <w:sz w:val="14"/>
              </w:rPr>
              <w:t>Pre-Zoran phase/drift prior art.</w:t>
            </w:r>
          </w:p>
        </w:tc>
      </w:tr>
      <w:tr>
        <w:tc>
          <w:tcPr>
            <w:tcW w:type="dxa" w:w="1625"/>
            <w:tcMar>
              <w:top w:w="35" w:type="dxa"/>
              <w:start w:w="35" w:type="dxa"/>
              <w:bottom w:w="35" w:type="dxa"/>
              <w:end w:w="35" w:type="dxa"/>
            </w:tcMar>
            <w:vAlign w:val="top"/>
          </w:tcPr>
          <w:p>
            <w:pPr>
              <w:spacing w:after="0"/>
            </w:pPr>
            <w:r>
              <w:rPr>
                <w:sz w:val="14"/>
              </w:rPr>
              <w:t>Paton G(P(s))=1</w:t>
            </w:r>
          </w:p>
        </w:tc>
        <w:tc>
          <w:tcPr>
            <w:tcW w:type="dxa" w:w="1625"/>
            <w:tcMar>
              <w:top w:w="35" w:type="dxa"/>
              <w:start w:w="35" w:type="dxa"/>
              <w:bottom w:w="35" w:type="dxa"/>
              <w:end w:w="35" w:type="dxa"/>
            </w:tcMar>
            <w:vAlign w:val="top"/>
          </w:tcPr>
          <w:p>
            <w:pPr>
              <w:spacing w:after="0"/>
            </w:pPr>
            <w:r>
              <w:rPr>
                <w:sz w:val="14"/>
              </w:rPr>
              <w:t>PATH/GATE</w:t>
            </w:r>
          </w:p>
        </w:tc>
        <w:tc>
          <w:tcPr>
            <w:tcW w:type="dxa" w:w="1625"/>
            <w:tcMar>
              <w:top w:w="35" w:type="dxa"/>
              <w:start w:w="35" w:type="dxa"/>
              <w:bottom w:w="35" w:type="dxa"/>
              <w:end w:w="35" w:type="dxa"/>
            </w:tcMar>
            <w:vAlign w:val="top"/>
          </w:tcPr>
          <w:p>
            <w:pPr>
              <w:spacing w:after="0"/>
            </w:pPr>
            <w:r>
              <w:rPr>
                <w:sz w:val="14"/>
              </w:rPr>
              <w:t>G_Z(x)=1{S_C(x)≥θ_C} is a possible gate projection</w:t>
            </w:r>
          </w:p>
        </w:tc>
        <w:tc>
          <w:tcPr>
            <w:tcW w:type="dxa" w:w="1625"/>
            <w:tcMar>
              <w:top w:w="35" w:type="dxa"/>
              <w:start w:w="35" w:type="dxa"/>
              <w:bottom w:w="35" w:type="dxa"/>
              <w:end w:w="35" w:type="dxa"/>
            </w:tcMar>
            <w:vAlign w:val="top"/>
          </w:tcPr>
          <w:p>
            <w:pPr>
              <w:spacing w:after="0"/>
            </w:pPr>
            <w:r>
              <w:rPr>
                <w:sz w:val="14"/>
              </w:rPr>
              <w:t>E4</w:t>
            </w:r>
          </w:p>
        </w:tc>
        <w:tc>
          <w:tcPr>
            <w:tcW w:type="dxa" w:w="1625"/>
            <w:tcMar>
              <w:top w:w="35" w:type="dxa"/>
              <w:start w:w="35" w:type="dxa"/>
              <w:bottom w:w="35" w:type="dxa"/>
              <w:end w:w="35" w:type="dxa"/>
            </w:tcMar>
            <w:vAlign w:val="top"/>
          </w:tcPr>
          <w:p>
            <w:pPr>
              <w:spacing w:after="0"/>
            </w:pPr>
            <w:r>
              <w:rPr>
                <w:sz w:val="14"/>
              </w:rPr>
              <w:t>COMPATIBILITY only</w:t>
            </w:r>
          </w:p>
        </w:tc>
        <w:tc>
          <w:tcPr>
            <w:tcW w:type="dxa" w:w="1625"/>
            <w:tcMar>
              <w:top w:w="35" w:type="dxa"/>
              <w:start w:w="35" w:type="dxa"/>
              <w:bottom w:w="35" w:type="dxa"/>
              <w:end w:w="35" w:type="dxa"/>
            </w:tcMar>
            <w:vAlign w:val="top"/>
          </w:tcPr>
          <w:p>
            <w:pPr>
              <w:spacing w:after="0"/>
            </w:pPr>
            <w:r>
              <w:rPr>
                <w:sz w:val="14"/>
              </w:rPr>
              <w:t>Post-Zoran minimalist admissibility gate.</w:t>
            </w:r>
          </w:p>
        </w:tc>
      </w:tr>
      <w:tr>
        <w:tc>
          <w:tcPr>
            <w:tcW w:type="dxa" w:w="1625"/>
            <w:tcMar>
              <w:top w:w="35" w:type="dxa"/>
              <w:start w:w="35" w:type="dxa"/>
              <w:bottom w:w="35" w:type="dxa"/>
              <w:end w:w="35" w:type="dxa"/>
            </w:tcMar>
            <w:vAlign w:val="top"/>
          </w:tcPr>
          <w:p>
            <w:pPr>
              <w:spacing w:after="0"/>
            </w:pPr>
            <w:r>
              <w:rPr>
                <w:sz w:val="14"/>
              </w:rPr>
              <w:t>Paton Reachable</w:t>
            </w:r>
          </w:p>
        </w:tc>
        <w:tc>
          <w:tcPr>
            <w:tcW w:type="dxa" w:w="1625"/>
            <w:tcMar>
              <w:top w:w="35" w:type="dxa"/>
              <w:start w:w="35" w:type="dxa"/>
              <w:bottom w:w="35" w:type="dxa"/>
              <w:end w:w="35" w:type="dxa"/>
            </w:tcMar>
            <w:vAlign w:val="top"/>
          </w:tcPr>
          <w:p>
            <w:pPr>
              <w:spacing w:after="0"/>
            </w:pPr>
            <w:r>
              <w:rPr>
                <w:sz w:val="14"/>
              </w:rPr>
              <w:t>PATH/REACHABILITY</w:t>
            </w:r>
          </w:p>
        </w:tc>
        <w:tc>
          <w:tcPr>
            <w:tcW w:type="dxa" w:w="1625"/>
            <w:tcMar>
              <w:top w:w="35" w:type="dxa"/>
              <w:start w:w="35" w:type="dxa"/>
              <w:bottom w:w="35" w:type="dxa"/>
              <w:end w:w="35" w:type="dxa"/>
            </w:tcMar>
            <w:vAlign w:val="top"/>
          </w:tcPr>
          <w:p>
            <w:pPr>
              <w:spacing w:after="0"/>
            </w:pPr>
            <w:r>
              <w:rPr>
                <w:sz w:val="14"/>
              </w:rPr>
              <w:t>Requires existential path operator beyond scalar S</w:t>
            </w:r>
          </w:p>
        </w:tc>
        <w:tc>
          <w:tcPr>
            <w:tcW w:type="dxa" w:w="1625"/>
            <w:tcMar>
              <w:top w:w="35" w:type="dxa"/>
              <w:start w:w="35" w:type="dxa"/>
              <w:bottom w:w="35" w:type="dxa"/>
              <w:end w:w="35" w:type="dxa"/>
            </w:tcMar>
            <w:vAlign w:val="top"/>
          </w:tcPr>
          <w:p>
            <w:pPr>
              <w:spacing w:after="0"/>
            </w:pPr>
            <w:r>
              <w:rPr>
                <w:sz w:val="14"/>
              </w:rPr>
              <w:t>E4</w:t>
            </w:r>
          </w:p>
        </w:tc>
        <w:tc>
          <w:tcPr>
            <w:tcW w:type="dxa" w:w="1625"/>
            <w:tcMar>
              <w:top w:w="35" w:type="dxa"/>
              <w:start w:w="35" w:type="dxa"/>
              <w:bottom w:w="35" w:type="dxa"/>
              <w:end w:w="35" w:type="dxa"/>
            </w:tcMar>
            <w:vAlign w:val="top"/>
          </w:tcPr>
          <w:p>
            <w:pPr>
              <w:spacing w:after="0"/>
            </w:pPr>
            <w:r>
              <w:rPr>
                <w:sz w:val="14"/>
              </w:rPr>
              <w:t>PENDING priority certificate</w:t>
            </w:r>
          </w:p>
        </w:tc>
        <w:tc>
          <w:tcPr>
            <w:tcW w:type="dxa" w:w="1625"/>
            <w:tcMar>
              <w:top w:w="35" w:type="dxa"/>
              <w:start w:w="35" w:type="dxa"/>
              <w:bottom w:w="35" w:type="dxa"/>
              <w:end w:w="35" w:type="dxa"/>
            </w:tcMar>
            <w:vAlign w:val="top"/>
          </w:tcPr>
          <w:p>
            <w:pPr>
              <w:spacing w:after="0"/>
            </w:pPr>
            <w:r>
              <w:rPr>
                <w:sz w:val="14"/>
              </w:rPr>
              <w:t>Target for Pass 3 pre-2026 Zoran archive search.</w:t>
            </w:r>
          </w:p>
        </w:tc>
      </w:tr>
      <w:tr>
        <w:tc>
          <w:tcPr>
            <w:tcW w:type="dxa" w:w="1625"/>
            <w:tcMar>
              <w:top w:w="35" w:type="dxa"/>
              <w:start w:w="35" w:type="dxa"/>
              <w:bottom w:w="35" w:type="dxa"/>
              <w:end w:w="35" w:type="dxa"/>
            </w:tcMar>
            <w:vAlign w:val="top"/>
          </w:tcPr>
          <w:p>
            <w:pPr>
              <w:spacing w:after="0"/>
            </w:pPr>
            <w:r>
              <w:rPr>
                <w:sz w:val="14"/>
              </w:rPr>
              <w:t>Bellori S_B</w:t>
            </w:r>
          </w:p>
        </w:tc>
        <w:tc>
          <w:tcPr>
            <w:tcW w:type="dxa" w:w="1625"/>
            <w:tcMar>
              <w:top w:w="35" w:type="dxa"/>
              <w:start w:w="35" w:type="dxa"/>
              <w:bottom w:w="35" w:type="dxa"/>
              <w:end w:w="35" w:type="dxa"/>
            </w:tcMar>
            <w:vAlign w:val="top"/>
          </w:tcPr>
          <w:p>
            <w:pPr>
              <w:spacing w:after="0"/>
            </w:pPr>
            <w:r>
              <w:rPr>
                <w:sz w:val="14"/>
              </w:rPr>
              <w:t>RATIO</w:t>
            </w:r>
          </w:p>
        </w:tc>
        <w:tc>
          <w:tcPr>
            <w:tcW w:type="dxa" w:w="1625"/>
            <w:tcMar>
              <w:top w:w="35" w:type="dxa"/>
              <w:start w:w="35" w:type="dxa"/>
              <w:bottom w:w="35" w:type="dxa"/>
              <w:end w:w="35" w:type="dxa"/>
            </w:tcMar>
            <w:vAlign w:val="top"/>
          </w:tcPr>
          <w:p>
            <w:pPr>
              <w:spacing w:after="0"/>
            </w:pPr>
            <w:r>
              <w:rPr>
                <w:sz w:val="14"/>
              </w:rPr>
              <w:t>Same numerator-product / denominator-cost skeleton</w:t>
            </w:r>
          </w:p>
        </w:tc>
        <w:tc>
          <w:tcPr>
            <w:tcW w:type="dxa" w:w="1625"/>
            <w:tcMar>
              <w:top w:w="35" w:type="dxa"/>
              <w:start w:w="35" w:type="dxa"/>
              <w:bottom w:w="35" w:type="dxa"/>
              <w:end w:w="35" w:type="dxa"/>
            </w:tcMar>
            <w:vAlign w:val="top"/>
          </w:tcPr>
          <w:p>
            <w:pPr>
              <w:spacing w:after="0"/>
            </w:pPr>
            <w:r>
              <w:rPr>
                <w:sz w:val="14"/>
              </w:rPr>
              <w:t>E5</w:t>
            </w:r>
          </w:p>
        </w:tc>
        <w:tc>
          <w:tcPr>
            <w:tcW w:type="dxa" w:w="1625"/>
            <w:tcMar>
              <w:top w:w="35" w:type="dxa"/>
              <w:start w:w="35" w:type="dxa"/>
              <w:bottom w:w="35" w:type="dxa"/>
              <w:end w:w="35" w:type="dxa"/>
            </w:tcMar>
            <w:vAlign w:val="top"/>
          </w:tcPr>
          <w:p>
            <w:pPr>
              <w:spacing w:after="0"/>
            </w:pPr>
            <w:r>
              <w:rPr>
                <w:sz w:val="14"/>
              </w:rPr>
              <w:t>NO E1 certificate</w:t>
            </w:r>
          </w:p>
        </w:tc>
        <w:tc>
          <w:tcPr>
            <w:tcW w:type="dxa" w:w="1625"/>
            <w:tcMar>
              <w:top w:w="35" w:type="dxa"/>
              <w:start w:w="35" w:type="dxa"/>
              <w:bottom w:w="35" w:type="dxa"/>
              <w:end w:w="35" w:type="dxa"/>
            </w:tcMar>
            <w:vAlign w:val="top"/>
          </w:tcPr>
          <w:p>
            <w:pPr>
              <w:spacing w:after="0"/>
            </w:pPr>
            <w:r>
              <w:rPr>
                <w:sz w:val="14"/>
              </w:rPr>
              <w:t>Post-Zoran independent ratio convergence.</w:t>
            </w:r>
          </w:p>
        </w:tc>
      </w:tr>
      <w:tr>
        <w:tc>
          <w:tcPr>
            <w:tcW w:type="dxa" w:w="1625"/>
            <w:tcMar>
              <w:top w:w="35" w:type="dxa"/>
              <w:start w:w="35" w:type="dxa"/>
              <w:bottom w:w="35" w:type="dxa"/>
              <w:end w:w="35" w:type="dxa"/>
            </w:tcMar>
            <w:vAlign w:val="top"/>
          </w:tcPr>
          <w:p>
            <w:pPr>
              <w:spacing w:after="0"/>
            </w:pPr>
            <w:r>
              <w:rPr>
                <w:sz w:val="14"/>
              </w:rPr>
              <w:t>Al-Mayahi persistence ODE</w:t>
            </w:r>
          </w:p>
        </w:tc>
        <w:tc>
          <w:tcPr>
            <w:tcW w:type="dxa" w:w="1625"/>
            <w:tcMar>
              <w:top w:w="35" w:type="dxa"/>
              <w:start w:w="35" w:type="dxa"/>
              <w:bottom w:w="35" w:type="dxa"/>
              <w:end w:w="35" w:type="dxa"/>
            </w:tcMar>
            <w:vAlign w:val="top"/>
          </w:tcPr>
          <w:p>
            <w:pPr>
              <w:spacing w:after="0"/>
            </w:pPr>
            <w:r>
              <w:rPr>
                <w:sz w:val="14"/>
              </w:rPr>
              <w:t>ODE–GDL</w:t>
            </w:r>
          </w:p>
        </w:tc>
        <w:tc>
          <w:tcPr>
            <w:tcW w:type="dxa" w:w="1625"/>
            <w:tcMar>
              <w:top w:w="35" w:type="dxa"/>
              <w:start w:w="35" w:type="dxa"/>
              <w:bottom w:w="35" w:type="dxa"/>
              <w:end w:w="35" w:type="dxa"/>
            </w:tcMar>
            <w:vAlign w:val="top"/>
          </w:tcPr>
          <w:p>
            <w:pPr>
              <w:spacing w:after="0"/>
            </w:pPr>
            <w:r>
              <w:rPr>
                <w:sz w:val="14"/>
              </w:rPr>
              <w:t>Could consume a Zoran score as C only by defining a new dynamic law</w:t>
            </w:r>
          </w:p>
        </w:tc>
        <w:tc>
          <w:tcPr>
            <w:tcW w:type="dxa" w:w="1625"/>
            <w:tcMar>
              <w:top w:w="35" w:type="dxa"/>
              <w:start w:w="35" w:type="dxa"/>
              <w:bottom w:w="35" w:type="dxa"/>
              <w:end w:w="35" w:type="dxa"/>
            </w:tcMar>
            <w:vAlign w:val="top"/>
          </w:tcPr>
          <w:p>
            <w:pPr>
              <w:spacing w:after="0"/>
            </w:pPr>
            <w:r>
              <w:rPr>
                <w:sz w:val="14"/>
              </w:rPr>
              <w:t>E4</w:t>
            </w:r>
          </w:p>
        </w:tc>
        <w:tc>
          <w:tcPr>
            <w:tcW w:type="dxa" w:w="1625"/>
            <w:tcMar>
              <w:top w:w="35" w:type="dxa"/>
              <w:start w:w="35" w:type="dxa"/>
              <w:bottom w:w="35" w:type="dxa"/>
              <w:end w:w="35" w:type="dxa"/>
            </w:tcMar>
            <w:vAlign w:val="top"/>
          </w:tcPr>
          <w:p>
            <w:pPr>
              <w:spacing w:after="0"/>
            </w:pPr>
            <w:r>
              <w:rPr>
                <w:sz w:val="14"/>
              </w:rPr>
              <w:t>EXTENSION demonstrated</w:t>
            </w:r>
          </w:p>
        </w:tc>
        <w:tc>
          <w:tcPr>
            <w:tcW w:type="dxa" w:w="1625"/>
            <w:tcMar>
              <w:top w:w="35" w:type="dxa"/>
              <w:start w:w="35" w:type="dxa"/>
              <w:bottom w:w="35" w:type="dxa"/>
              <w:end w:w="35" w:type="dxa"/>
            </w:tcMar>
            <w:vAlign w:val="top"/>
          </w:tcPr>
          <w:p>
            <w:pPr>
              <w:spacing w:after="0"/>
            </w:pPr>
            <w:r>
              <w:rPr>
                <w:sz w:val="14"/>
              </w:rPr>
              <w:t>Adds explicit time evolution of persistence weight.</w:t>
            </w:r>
          </w:p>
        </w:tc>
      </w:tr>
      <w:tr>
        <w:tc>
          <w:tcPr>
            <w:tcW w:type="dxa" w:w="1625"/>
            <w:tcMar>
              <w:top w:w="35" w:type="dxa"/>
              <w:start w:w="35" w:type="dxa"/>
              <w:bottom w:w="35" w:type="dxa"/>
              <w:end w:w="35" w:type="dxa"/>
            </w:tcMar>
            <w:vAlign w:val="top"/>
          </w:tcPr>
          <w:p>
            <w:pPr>
              <w:spacing w:after="0"/>
            </w:pPr>
            <w:r>
              <w:rPr>
                <w:sz w:val="14"/>
              </w:rPr>
              <w:t>Jimenez prior</w:t>
            </w:r>
          </w:p>
        </w:tc>
        <w:tc>
          <w:tcPr>
            <w:tcW w:type="dxa" w:w="1625"/>
            <w:tcMar>
              <w:top w:w="35" w:type="dxa"/>
              <w:start w:w="35" w:type="dxa"/>
              <w:bottom w:w="35" w:type="dxa"/>
              <w:end w:w="35" w:type="dxa"/>
            </w:tcMar>
            <w:vAlign w:val="top"/>
          </w:tcPr>
          <w:p>
            <w:pPr>
              <w:spacing w:after="0"/>
            </w:pPr>
            <w:r>
              <w:rPr>
                <w:sz w:val="14"/>
              </w:rPr>
              <w:t>COST/PRIOR</w:t>
            </w:r>
          </w:p>
        </w:tc>
        <w:tc>
          <w:tcPr>
            <w:tcW w:type="dxa" w:w="1625"/>
            <w:tcMar>
              <w:top w:w="35" w:type="dxa"/>
              <w:start w:w="35" w:type="dxa"/>
              <w:bottom w:w="35" w:type="dxa"/>
              <w:end w:w="35" w:type="dxa"/>
            </w:tcMar>
            <w:vAlign w:val="top"/>
          </w:tcPr>
          <w:p>
            <w:pPr>
              <w:spacing w:after="0"/>
            </w:pPr>
            <w:r>
              <w:rPr>
                <w:sz w:val="14"/>
              </w:rPr>
              <w:t>Non-compensation logic comparable; mathematical object distinct</w:t>
            </w:r>
          </w:p>
        </w:tc>
        <w:tc>
          <w:tcPr>
            <w:tcW w:type="dxa" w:w="1625"/>
            <w:tcMar>
              <w:top w:w="35" w:type="dxa"/>
              <w:start w:w="35" w:type="dxa"/>
              <w:bottom w:w="35" w:type="dxa"/>
              <w:end w:w="35" w:type="dxa"/>
            </w:tcMar>
            <w:vAlign w:val="top"/>
          </w:tcPr>
          <w:p>
            <w:pPr>
              <w:spacing w:after="0"/>
            </w:pPr>
            <w:r>
              <w:rPr>
                <w:sz w:val="14"/>
              </w:rPr>
              <w:t>E6/E3</w:t>
            </w:r>
          </w:p>
        </w:tc>
        <w:tc>
          <w:tcPr>
            <w:tcW w:type="dxa" w:w="1625"/>
            <w:tcMar>
              <w:top w:w="35" w:type="dxa"/>
              <w:start w:w="35" w:type="dxa"/>
              <w:bottom w:w="35" w:type="dxa"/>
              <w:end w:w="35" w:type="dxa"/>
            </w:tcMar>
            <w:vAlign w:val="top"/>
          </w:tcPr>
          <w:p>
            <w:pPr>
              <w:spacing w:after="0"/>
            </w:pPr>
            <w:r>
              <w:rPr>
                <w:sz w:val="14"/>
              </w:rPr>
              <w:t>DISTINCT with conceptual convergence</w:t>
            </w:r>
          </w:p>
        </w:tc>
        <w:tc>
          <w:tcPr>
            <w:tcW w:type="dxa" w:w="1625"/>
            <w:tcMar>
              <w:top w:w="35" w:type="dxa"/>
              <w:start w:w="35" w:type="dxa"/>
              <w:bottom w:w="35" w:type="dxa"/>
              <w:end w:w="35" w:type="dxa"/>
            </w:tcMar>
            <w:vAlign w:val="top"/>
          </w:tcPr>
          <w:p>
            <w:pPr>
              <w:spacing w:after="0"/>
            </w:pPr>
            <w:r>
              <w:rPr>
                <w:sz w:val="14"/>
              </w:rPr>
              <w:t>Useful cross-field evidence that structural violations can be made operational.</w:t>
            </w:r>
          </w:p>
        </w:tc>
      </w:tr>
    </w:tbl>
    <w:p>
      <w:pPr>
        <w:pStyle w:val="Heading1"/>
        <w:keepNext/>
        <w:keepLines/>
      </w:pPr>
      <w:r>
        <w:t>12. Priority position after Pass 2</w:t>
      </w:r>
    </w:p>
    <w:p>
      <w:r>
        <w:rPr>
          <w:b/>
        </w:rPr>
        <w:t xml:space="preserve">NOT AVAILABLE AS A BROAD CLAIM — </w:t>
      </w:r>
      <w:r>
        <w:t>“First kinematics of coherence.” Martirosyan et al. have a 10 October 2024 preprint defining and measuring coherence-spreading kinematics in a physical system.</w:t>
      </w:r>
    </w:p>
    <w:p>
      <w:r>
        <w:rPr>
          <w:b/>
        </w:rPr>
        <w:t xml:space="preserve">NOT AVAILABLE AS A BROAD CLAIM — </w:t>
      </w:r>
      <w:r>
        <w:t>“First transversal/dynamic coherence equation.” The UCP public paper dated 5 June 2025 gives a cross-domain differential equation, equilibrium, stochastic and coupled forms.</w:t>
      </w:r>
    </w:p>
    <w:p>
      <w:r>
        <w:rPr>
          <w:b/>
        </w:rPr>
        <w:t xml:space="preserve">NOT AVAILABLE — </w:t>
      </w:r>
      <w:r>
        <w:t>“Discovery of coherence,” “admissibility,” “viability,” “synchronization,” or “coherence as persistence” in broad terms; all have earlier lineages.</w:t>
      </w:r>
    </w:p>
    <w:p>
      <w:r>
        <w:rPr>
          <w:b/>
        </w:rPr>
        <w:t xml:space="preserve">POTENTIALLY DEFENSIBLE, SUBJECT TO FURTHER PRIORITY SEARCH — </w:t>
      </w:r>
      <w:r>
        <w:t>The particular Zoran assembly of a phenomenal admissibility gauge with frame-declared operands, multi-frame non-compensation, temporal coherence debt, transversal falsification tooling, generative equation engines, and a deterministic AI decision architecture.</w:t>
      </w:r>
    </w:p>
    <w:p>
      <w:r>
        <w:rPr>
          <w:b/>
        </w:rPr>
        <w:t xml:space="preserve">POTENTIALLY DEFENSIBLE, SUBJECT TO FORMAL CERTIFICATES — </w:t>
      </w:r>
      <w:r>
        <w:t>Specific Zoran transformations published before later 2026 formulations, when an explicit dated derivation can be produced. This is a formula-level claim, never ownership of the external author’s scientific interpretation.</w:t>
      </w:r>
    </w:p>
    <w:p>
      <w:r>
        <w:t>The cumulative interpretation is therefore stronger when it is less proprietary: different disciplines have formalized different projections of coherence — phase order, viability, closure, information retention, bounded drift, reachability, overlap, persistence ODEs, coherence costs, and multi-trajectory compatibility. The scientific opportunity is to test whether a common higher-level theory can connect some of them without erasing domain assumptions or historical priority.</w:t>
      </w:r>
    </w:p>
    <w:p>
      <w:pPr>
        <w:pStyle w:val="Heading1"/>
        <w:keepNext/>
        <w:keepLines/>
      </w:pPr>
      <w:r>
        <w:t>13. Pass-2 primary/reference sources</w:t>
      </w:r>
    </w:p>
    <w:p>
      <w:pPr>
        <w:pStyle w:val="Bibliography"/>
        <w:spacing w:after="40"/>
      </w:pPr>
      <w:r>
        <w:t>Martirosyan, G. et al. “A universal speed limit for spreading of quantum coherence.” arXiv:2410.08204 (first submitted 10 Oct 2024); Nature (2025), DOI 10.1038/s41586-025-09735-z.</w:t>
      </w:r>
    </w:p>
    <w:p>
      <w:pPr>
        <w:pStyle w:val="Bibliography"/>
        <w:spacing w:after="40"/>
      </w:pPr>
      <w:r>
        <w:t>Coherent Intelligence Inc. Research Division. “Universal Coherence Principle: Mathematical Formalization and Cross-Domain Applications.” Dated 5 Jun 2025. https://coherent-intelligence.uk/papers/ucp-math.html</w:t>
      </w:r>
    </w:p>
    <w:p>
      <w:pPr>
        <w:pStyle w:val="Bibliography"/>
        <w:spacing w:after="40"/>
      </w:pPr>
      <w:r>
        <w:t>Hu, M.-L. &amp; Fan, H. “Evolution equation for quantum coherence.” Scientific Reports 6, 29260 (2016). DOI 10.1038/srep29260.</w:t>
      </w:r>
    </w:p>
    <w:p>
      <w:pPr>
        <w:pStyle w:val="Bibliography"/>
        <w:spacing w:after="40"/>
      </w:pPr>
      <w:r>
        <w:t>Paton, A. J. “The Unified Admissibility Equation.” DOI 10.5281/zenodo.18707596; “The Foundational Admissibility Framework.” DOI 10.5281/zenodo.18708653.</w:t>
      </w:r>
    </w:p>
    <w:p>
      <w:pPr>
        <w:pStyle w:val="Bibliography"/>
        <w:spacing w:after="40"/>
      </w:pPr>
      <w:r>
        <w:t>Bellori, M. “The Principle of Preserved Coherence Under Change.” PhilArchive BELTPO-39. Exact DOI not verified in Pass 2.</w:t>
      </w:r>
    </w:p>
    <w:p>
      <w:pPr>
        <w:pStyle w:val="Bibliography"/>
        <w:spacing w:after="40"/>
      </w:pPr>
      <w:r>
        <w:t>Al-Mayahi, A. “The Coherence Constraint.” DOI 10.5281/zenodo.19056454; “Coherence as Mutual Information…” DOI 10.5281/zenodo.19185301.</w:t>
      </w:r>
    </w:p>
    <w:p>
      <w:pPr>
        <w:pStyle w:val="Bibliography"/>
        <w:spacing w:after="40"/>
      </w:pPr>
      <w:r>
        <w:t>Jimenez, R., Peña Garay, C., Simpson, F. &amp; Verde, L. “The Coherence Principle: A Falsifiable Prior for Model Selection from the Grammar of Theories.” arXiv:2606.18491 (16 Jun 2026).</w:t>
      </w:r>
    </w:p>
    <w:p>
      <w:pPr>
        <w:pStyle w:val="Bibliography"/>
        <w:spacing w:after="40"/>
      </w:pPr>
      <w:r>
        <w:t>Zoran public corpus: DOI 10.5281/zenodo.17682120; 10.5281/zenodo.17522369; 10.5281/zenodo.17537450; 10.5281/zenodo.18516353.</w:t>
      </w:r>
    </w:p>
    <w:p>
      <w:pPr>
        <w:pStyle w:val="Heading1"/>
        <w:keepNext/>
        <w:keepLines/>
      </w:pPr>
      <w:r>
        <w:t>14. Work inherited from Pass 2 — resolved or carried forward</w:t>
      </w:r>
    </w:p>
    <w:p>
      <w:pPr>
        <w:pStyle w:val="ListBullet"/>
      </w:pPr>
      <w:r>
        <w:t>Extract exact Hensgen and Yang equations from primary PDFs or machine-readable supplementary sources; keep PENDING if extraction cannot be verified.</w:t>
      </w:r>
    </w:p>
    <w:p>
      <w:pPr>
        <w:pStyle w:val="ListBullet"/>
      </w:pPr>
      <w:r>
        <w:t>RESOLVED IN PASS 3 — exact scalar-gauge rearrangements certified; external candidate relations classified by algebraic/projection/extension/countermodel certificates.</w:t>
      </w:r>
    </w:p>
    <w:p>
      <w:pPr>
        <w:pStyle w:val="ListBullet"/>
      </w:pPr>
      <w:r>
        <w:t>CARRIED TO PASS 4 — dedicated pre-20-Feb-2026 Zoran reachability/path-existence search remains necessary; Pass 3 proves only that endpoint S alone cannot encode reachability.</w:t>
      </w:r>
    </w:p>
    <w:p>
      <w:pPr>
        <w:pStyle w:val="ListBullet"/>
      </w:pPr>
      <w:r>
        <w:t>Expand multilingual prior-art search for terms equivalent to coherence dynamics, structural persistence, admissible trajectories, bounded coherence, and coherence kinematics.</w:t>
      </w:r>
    </w:p>
    <w:p>
      <w:pPr>
        <w:pStyle w:val="ListBullet"/>
      </w:pPr>
      <w:r>
        <w:t>Build a source-level licence ledger (paper licence / code licence / patent notice) independently for every candidate programme.</w:t>
      </w:r>
    </w:p>
    <w:p>
      <w:pPr>
        <w:pStyle w:val="ListBullet"/>
      </w:pPr>
      <w:r>
        <w:t>Begin formal separation of “equation priority”, “concept priority”, “empirical validation priority”, and “implementation priority”.</w:t>
      </w:r>
    </w:p>
    <w:p>
      <w:pPr>
        <w:spacing w:before="200"/>
        <w:jc w:val="center"/>
      </w:pPr>
      <w:r>
        <w:rPr>
          <w:b/>
          <w:color w:val="18324A"/>
        </w:rPr>
        <w:t>Working conclusion — Pass 2/10</w:t>
      </w:r>
    </w:p>
    <w:p>
      <w:pPr>
        <w:jc w:val="center"/>
      </w:pPr>
      <w:r>
        <w:rPr>
          <w:i/>
        </w:rPr>
        <w:t>The field is not converging on one equation yet; it is converging on a small set of recurrent mathematical skeletons. The next scientific task is to prove which skeletons are transformably connected and which are genuinely different.</w:t>
      </w:r>
    </w:p>
    <w:p>
      <w:r>
        <w:br w:type="page"/>
      </w:r>
    </w:p>
    <w:p>
      <w:pPr>
        <w:pStyle w:val="Heading1"/>
        <w:keepNext/>
        <w:keepLines/>
      </w:pPr>
      <w:r>
        <w:t>15. Independent convergence, AI participation, and epistemic significance</w:t>
      </w:r>
    </w:p>
    <w:p>
      <w:r>
        <w:t>This section asks a methodological question that is distinct from mathematical priority: how were the different coherence programmes reached, what role did artificial intelligence or computational tools play, and what can legitimately be inferred from the fact that partly similar structures emerged through different routes?</w:t>
      </w:r>
    </w:p>
    <w:p>
      <w:r>
        <w:rPr>
          <w:b/>
        </w:rPr>
        <w:t xml:space="preserve">Working hypothesis — </w:t>
      </w:r>
      <w:r>
        <w:t>independent convergence is scientifically informative when the routes, data, assumptions, and tools are sufficiently different. It is not, by itself, proof that a universal law has been discovered. The stronger claim is that recurrent mathematical motifs deserve joint testing because they have been recovered under partially independent problem formulations.</w:t>
      </w:r>
    </w:p>
    <w:p>
      <w:r>
        <w:rPr>
          <w:b/>
        </w:rPr>
        <w:t xml:space="preserve">Terminology rule — </w:t>
      </w:r>
      <w:r>
        <w:t>the terms data point, simulation vector, test case, model evaluation, red-team attack, falsification attempt, and independent replication are not interchangeable. Counts are reported only in the category actually documented by the source.</w:t>
      </w:r>
    </w:p>
    <w:p>
      <w:pPr>
        <w:pStyle w:val="Heading2"/>
        <w:keepNext/>
        <w:keepLines/>
      </w:pPr>
      <w:r>
        <w:t>15.1 Verified role of AI and computational tools</w:t>
      </w:r>
    </w:p>
    <w:tbl>
      <w:tblPr>
        <w:tblStyle w:val="TableGrid"/>
        <w:tblW w:type="auto" w:w="0"/>
        <w:jc w:val="center"/>
        <w:tblLook w:firstColumn="1" w:firstRow="1" w:lastColumn="0" w:lastRow="0" w:noHBand="0" w:noVBand="1" w:val="04A0"/>
      </w:tblPr>
      <w:tblGrid>
        <w:gridCol w:w="2437"/>
        <w:gridCol w:w="2437"/>
        <w:gridCol w:w="2437"/>
        <w:gridCol w:w="2437"/>
      </w:tblGrid>
      <w:tr>
        <w:tc>
          <w:tcPr>
            <w:tcW w:type="dxa" w:w="2437"/>
          </w:tcPr>
          <w:p>
            <w:r>
              <w:rPr>
                <w:b/>
                <w:sz w:val="17"/>
              </w:rPr>
              <w:t>Programme</w:t>
            </w:r>
          </w:p>
        </w:tc>
        <w:tc>
          <w:tcPr>
            <w:tcW w:type="dxa" w:w="2437"/>
          </w:tcPr>
          <w:p>
            <w:r>
              <w:rPr>
                <w:b/>
                <w:sz w:val="17"/>
              </w:rPr>
              <w:t>AI/tool role</w:t>
            </w:r>
          </w:p>
        </w:tc>
        <w:tc>
          <w:tcPr>
            <w:tcW w:type="dxa" w:w="2437"/>
          </w:tcPr>
          <w:p>
            <w:r>
              <w:rPr>
                <w:b/>
                <w:sz w:val="17"/>
              </w:rPr>
              <w:t>What is actually established</w:t>
            </w:r>
          </w:p>
        </w:tc>
        <w:tc>
          <w:tcPr>
            <w:tcW w:type="dxa" w:w="2437"/>
          </w:tcPr>
          <w:p>
            <w:r>
              <w:rPr>
                <w:b/>
                <w:sz w:val="17"/>
              </w:rPr>
              <w:t>Status</w:t>
            </w:r>
          </w:p>
        </w:tc>
      </w:tr>
      <w:tr>
        <w:tc>
          <w:tcPr>
            <w:tcW w:type="dxa" w:w="2437"/>
            <w:vAlign w:val="top"/>
          </w:tcPr>
          <w:p>
            <w:r>
              <w:rPr>
                <w:sz w:val="17"/>
              </w:rPr>
              <w:t>Classical foundations (Maturana/Varela, Holling, Aubin, Kuramoto, Friston, Baumgratz, Montévil/Mossio)</w:t>
            </w:r>
          </w:p>
        </w:tc>
        <w:tc>
          <w:tcPr>
            <w:tcW w:type="dxa" w:w="2437"/>
            <w:vAlign w:val="top"/>
          </w:tcPr>
          <w:p>
            <w:r>
              <w:rPr>
                <w:sz w:val="17"/>
              </w:rPr>
              <w:t>No generative-AI participation in the original work</w:t>
            </w:r>
          </w:p>
        </w:tc>
        <w:tc>
          <w:tcPr>
            <w:tcW w:type="dxa" w:w="2437"/>
            <w:vAlign w:val="top"/>
          </w:tcPr>
          <w:p>
            <w:r>
              <w:rPr>
                <w:sz w:val="17"/>
              </w:rPr>
              <w:t>Chronology makes generative-AI assistance impossible for the original publications. Computational mathematics/simulation may still occur in individual fields, but that is a different claim.</w:t>
            </w:r>
          </w:p>
        </w:tc>
        <w:tc>
          <w:tcPr>
            <w:tcW w:type="dxa" w:w="2437"/>
            <w:vAlign w:val="top"/>
          </w:tcPr>
          <w:p>
            <w:r>
              <w:rPr>
                <w:sz w:val="17"/>
              </w:rPr>
              <w:t>VERIFIED by date</w:t>
            </w:r>
          </w:p>
        </w:tc>
      </w:tr>
      <w:tr>
        <w:tc>
          <w:tcPr>
            <w:tcW w:type="dxa" w:w="2437"/>
            <w:vAlign w:val="top"/>
          </w:tcPr>
          <w:p>
            <w:r>
              <w:rPr>
                <w:sz w:val="17"/>
              </w:rPr>
              <w:t>Coherent Intelligence / UCP (2025)</w:t>
            </w:r>
          </w:p>
        </w:tc>
        <w:tc>
          <w:tcPr>
            <w:tcW w:type="dxa" w:w="2437"/>
            <w:vAlign w:val="top"/>
          </w:tcPr>
          <w:p>
            <w:r>
              <w:rPr>
                <w:sz w:val="17"/>
              </w:rPr>
              <w:t>AI used as an experimental/application domain; AI co-discovery not established</w:t>
            </w:r>
          </w:p>
        </w:tc>
        <w:tc>
          <w:tcPr>
            <w:tcW w:type="dxa" w:w="2437"/>
            <w:vAlign w:val="top"/>
          </w:tcPr>
          <w:p>
            <w:r>
              <w:rPr>
                <w:sz w:val="17"/>
              </w:rPr>
              <w:t>The programme reports tests across five major AI systems and presents coherence engineering as an AI intervention. Current public sources reviewed here do not establish an AI system as co-author or discovery agent for the UCP itself.</w:t>
            </w:r>
          </w:p>
        </w:tc>
        <w:tc>
          <w:tcPr>
            <w:tcW w:type="dxa" w:w="2437"/>
            <w:vAlign w:val="top"/>
          </w:tcPr>
          <w:p>
            <w:r>
              <w:rPr>
                <w:sz w:val="17"/>
              </w:rPr>
              <w:t>PARTIAL / AUTHOR-REPORTED</w:t>
            </w:r>
          </w:p>
        </w:tc>
      </w:tr>
      <w:tr>
        <w:tc>
          <w:tcPr>
            <w:tcW w:type="dxa" w:w="2437"/>
            <w:vAlign w:val="top"/>
          </w:tcPr>
          <w:p>
            <w:r>
              <w:rPr>
                <w:sz w:val="17"/>
              </w:rPr>
              <w:t>Devin Bostick / CODES</w:t>
            </w:r>
          </w:p>
        </w:tc>
        <w:tc>
          <w:tcPr>
            <w:tcW w:type="dxa" w:w="2437"/>
            <w:vAlign w:val="top"/>
          </w:tcPr>
          <w:p>
            <w:r>
              <w:rPr>
                <w:sz w:val="17"/>
              </w:rPr>
              <w:t>AI participation verified in the broader programme; role in each foundational equation must be separated</w:t>
            </w:r>
          </w:p>
        </w:tc>
        <w:tc>
          <w:tcPr>
            <w:tcW w:type="dxa" w:w="2437"/>
            <w:vAlign w:val="top"/>
          </w:tcPr>
          <w:p>
            <w:r>
              <w:rPr>
                <w:sz w:val="17"/>
              </w:rPr>
              <w:t>At least one Zenodo artefact, “Resonant Ascent”, lists “AI, Chiral” as a creator alongside Devin Bostick. This demonstrates AI participation in the programme, but does not prove that the core CODES/PAS equations were generated or validated by that AI.</w:t>
            </w:r>
          </w:p>
        </w:tc>
        <w:tc>
          <w:tcPr>
            <w:tcW w:type="dxa" w:w="2437"/>
            <w:vAlign w:val="top"/>
          </w:tcPr>
          <w:p>
            <w:r>
              <w:rPr>
                <w:sz w:val="17"/>
              </w:rPr>
              <w:t>VERIFIED BROADER PROGRAMME</w:t>
            </w:r>
          </w:p>
        </w:tc>
      </w:tr>
      <w:tr>
        <w:tc>
          <w:tcPr>
            <w:tcW w:type="dxa" w:w="2437"/>
            <w:vAlign w:val="top"/>
          </w:tcPr>
          <w:p>
            <w:r>
              <w:rPr>
                <w:sz w:val="17"/>
              </w:rPr>
              <w:t>Allison Hensgen / Δ.72</w:t>
            </w:r>
          </w:p>
        </w:tc>
        <w:tc>
          <w:tcPr>
            <w:tcW w:type="dxa" w:w="2437"/>
            <w:vAlign w:val="top"/>
          </w:tcPr>
          <w:p>
            <w:r>
              <w:rPr>
                <w:sz w:val="17"/>
              </w:rPr>
              <w:t>No AI participation in discovery established from the records checked so far</w:t>
            </w:r>
          </w:p>
        </w:tc>
        <w:tc>
          <w:tcPr>
            <w:tcW w:type="dxa" w:w="2437"/>
            <w:vAlign w:val="top"/>
          </w:tcPr>
          <w:p>
            <w:r>
              <w:rPr>
                <w:sz w:val="17"/>
              </w:rPr>
              <w:t>Zenodo records reviewed list Allison Hensgen as creator/rights holder and describe empirical and mathematical work. Absence of an AI credit is not evidence that no AI was used; the role remains unverified.</w:t>
            </w:r>
          </w:p>
        </w:tc>
        <w:tc>
          <w:tcPr>
            <w:tcW w:type="dxa" w:w="2437"/>
            <w:vAlign w:val="top"/>
          </w:tcPr>
          <w:p>
            <w:r>
              <w:rPr>
                <w:sz w:val="17"/>
              </w:rPr>
              <w:t>NOT ESTABLISHED</w:t>
            </w:r>
          </w:p>
        </w:tc>
      </w:tr>
      <w:tr>
        <w:tc>
          <w:tcPr>
            <w:tcW w:type="dxa" w:w="2437"/>
            <w:vAlign w:val="top"/>
          </w:tcPr>
          <w:p>
            <w:r>
              <w:rPr>
                <w:sz w:val="17"/>
              </w:rPr>
              <w:t>Andrew J. Paton</w:t>
            </w:r>
          </w:p>
        </w:tc>
        <w:tc>
          <w:tcPr>
            <w:tcW w:type="dxa" w:w="2437"/>
            <w:vAlign w:val="top"/>
          </w:tcPr>
          <w:p>
            <w:r>
              <w:rPr>
                <w:sz w:val="17"/>
              </w:rPr>
              <w:t>Later human–AI work is explicit; AI role in the February 2026 foundational admissibility papers is not established</w:t>
            </w:r>
          </w:p>
        </w:tc>
        <w:tc>
          <w:tcPr>
            <w:tcW w:type="dxa" w:w="2437"/>
            <w:vAlign w:val="top"/>
          </w:tcPr>
          <w:p>
            <w:r>
              <w:rPr>
                <w:sz w:val="17"/>
              </w:rPr>
              <w:t>Later Paton work explicitly describes a Human–AI Interpretive Framework and practical interactions with generative AI. The February 20 admissibility records checked here do not establish AI co-authorship of the original formalism.</w:t>
            </w:r>
          </w:p>
        </w:tc>
        <w:tc>
          <w:tcPr>
            <w:tcW w:type="dxa" w:w="2437"/>
            <w:vAlign w:val="top"/>
          </w:tcPr>
          <w:p>
            <w:r>
              <w:rPr>
                <w:sz w:val="17"/>
              </w:rPr>
              <w:t>VERIFIED LATER / ORIGINAL UNVERIFIED</w:t>
            </w:r>
          </w:p>
        </w:tc>
      </w:tr>
      <w:tr>
        <w:tc>
          <w:tcPr>
            <w:tcW w:type="dxa" w:w="2437"/>
            <w:vAlign w:val="top"/>
          </w:tcPr>
          <w:p>
            <w:r>
              <w:rPr>
                <w:sz w:val="17"/>
              </w:rPr>
              <w:t>Abdulsalam Al-Mayahi / ULSP</w:t>
            </w:r>
          </w:p>
        </w:tc>
        <w:tc>
          <w:tcPr>
            <w:tcW w:type="dxa" w:w="2437"/>
            <w:vAlign w:val="top"/>
          </w:tcPr>
          <w:p>
            <w:r>
              <w:rPr>
                <w:sz w:val="17"/>
              </w:rPr>
              <w:t>AI is an application domain; AI participation in discovery not established</w:t>
            </w:r>
          </w:p>
        </w:tc>
        <w:tc>
          <w:tcPr>
            <w:tcW w:type="dxa" w:w="2437"/>
            <w:vAlign w:val="top"/>
          </w:tcPr>
          <w:p>
            <w:r>
              <w:rPr>
                <w:sz w:val="17"/>
              </w:rPr>
              <w:t>The papers explicitly include artificial intelligence as one of the domains to which the persistence law is projected, but the sources reviewed here do not document an AI system as co-author or discovery engine.</w:t>
            </w:r>
          </w:p>
        </w:tc>
        <w:tc>
          <w:tcPr>
            <w:tcW w:type="dxa" w:w="2437"/>
            <w:vAlign w:val="top"/>
          </w:tcPr>
          <w:p>
            <w:r>
              <w:rPr>
                <w:sz w:val="17"/>
              </w:rPr>
              <w:t>NOT ESTABLISHED</w:t>
            </w:r>
          </w:p>
        </w:tc>
      </w:tr>
      <w:tr>
        <w:tc>
          <w:tcPr>
            <w:tcW w:type="dxa" w:w="2437"/>
            <w:vAlign w:val="top"/>
          </w:tcPr>
          <w:p>
            <w:r>
              <w:rPr>
                <w:sz w:val="17"/>
              </w:rPr>
              <w:t>Zoran / Tabary</w:t>
            </w:r>
          </w:p>
        </w:tc>
        <w:tc>
          <w:tcPr>
            <w:tcW w:type="dxa" w:w="2437"/>
            <w:vAlign w:val="top"/>
          </w:tcPr>
          <w:p>
            <w:r>
              <w:rPr>
                <w:sz w:val="17"/>
              </w:rPr>
              <w:t>AI-assisted exploration and falsification methodology explicitly documented</w:t>
            </w:r>
          </w:p>
        </w:tc>
        <w:tc>
          <w:tcPr>
            <w:tcW w:type="dxa" w:w="2437"/>
            <w:vAlign w:val="top"/>
          </w:tcPr>
          <w:p>
            <w:r>
              <w:rPr>
                <w:sz w:val="17"/>
              </w:rPr>
              <w:t>The 5 February 2026 falsification paper explicitly positions LLMs as tools for exploring heterogeneous conceptual spaces, generating hypotheses, detecting tensions and performing pre-falsification under a formal decision framework. ZBench Ω9 additionally evaluates 11 heterogeneous AI systems under seven mandatory quantitative tests plus a fractal RedTeam layer.</w:t>
            </w:r>
          </w:p>
        </w:tc>
        <w:tc>
          <w:tcPr>
            <w:tcW w:type="dxa" w:w="2437"/>
            <w:vAlign w:val="top"/>
          </w:tcPr>
          <w:p>
            <w:r>
              <w:rPr>
                <w:sz w:val="17"/>
              </w:rPr>
              <w:t>VERIFIED</w:t>
            </w:r>
          </w:p>
        </w:tc>
      </w:tr>
    </w:tbl>
    <w:p>
      <w:pPr>
        <w:pStyle w:val="Heading2"/>
        <w:keepNext/>
        <w:keepLines/>
      </w:pPr>
      <w:r>
        <w:t>15.2 Quantitative evidence: what has actually been counted</w:t>
      </w:r>
    </w:p>
    <w:tbl>
      <w:tblPr>
        <w:tblStyle w:val="TableGrid"/>
        <w:tblW w:type="auto" w:w="0"/>
        <w:jc w:val="center"/>
        <w:tblLook w:firstColumn="1" w:firstRow="1" w:lastColumn="0" w:lastRow="0" w:noHBand="0" w:noVBand="1" w:val="04A0"/>
      </w:tblPr>
      <w:tblGrid>
        <w:gridCol w:w="3250"/>
        <w:gridCol w:w="3250"/>
        <w:gridCol w:w="3250"/>
      </w:tblGrid>
      <w:tr>
        <w:tc>
          <w:tcPr>
            <w:tcW w:type="dxa" w:w="3250"/>
          </w:tcPr>
          <w:p>
            <w:r>
              <w:rPr>
                <w:b/>
                <w:sz w:val="17"/>
              </w:rPr>
              <w:t>Programme / artefact</w:t>
            </w:r>
          </w:p>
        </w:tc>
        <w:tc>
          <w:tcPr>
            <w:tcW w:type="dxa" w:w="3250"/>
          </w:tcPr>
          <w:p>
            <w:r>
              <w:rPr>
                <w:b/>
                <w:sz w:val="17"/>
              </w:rPr>
              <w:t>Verified count or scale</w:t>
            </w:r>
          </w:p>
        </w:tc>
        <w:tc>
          <w:tcPr>
            <w:tcW w:type="dxa" w:w="3250"/>
          </w:tcPr>
          <w:p>
            <w:r>
              <w:rPr>
                <w:b/>
                <w:sz w:val="17"/>
              </w:rPr>
              <w:t>Interpretation rule</w:t>
            </w:r>
          </w:p>
        </w:tc>
      </w:tr>
      <w:tr>
        <w:tc>
          <w:tcPr>
            <w:tcW w:type="dxa" w:w="3250"/>
            <w:vAlign w:val="top"/>
          </w:tcPr>
          <w:p>
            <w:r>
              <w:rPr>
                <w:sz w:val="17"/>
              </w:rPr>
              <w:t>UCP / Coherent Intelligence</w:t>
            </w:r>
          </w:p>
        </w:tc>
        <w:tc>
          <w:tcPr>
            <w:tcW w:type="dxa" w:w="3250"/>
            <w:vAlign w:val="top"/>
          </w:tcPr>
          <w:p>
            <w:r>
              <w:rPr>
                <w:sz w:val="17"/>
              </w:rPr>
              <w:t>Five major AI systems</w:t>
            </w:r>
          </w:p>
        </w:tc>
        <w:tc>
          <w:tcPr>
            <w:tcW w:type="dxa" w:w="3250"/>
            <w:vAlign w:val="top"/>
          </w:tcPr>
          <w:p>
            <w:r>
              <w:rPr>
                <w:sz w:val="17"/>
              </w:rPr>
              <w:t>Author-reported intervention/validation on AI reasoning; the source reports 100% transformation rate and a 61% coherence improvement. These are not treated here as independent replications.</w:t>
            </w:r>
          </w:p>
        </w:tc>
      </w:tr>
      <w:tr>
        <w:tc>
          <w:tcPr>
            <w:tcW w:type="dxa" w:w="3250"/>
            <w:vAlign w:val="top"/>
          </w:tcPr>
          <w:p>
            <w:r>
              <w:rPr>
                <w:sz w:val="17"/>
              </w:rPr>
              <w:t>Hensgen Δ.72</w:t>
            </w:r>
          </w:p>
        </w:tc>
        <w:tc>
          <w:tcPr>
            <w:tcW w:type="dxa" w:w="3250"/>
            <w:vAlign w:val="top"/>
          </w:tcPr>
          <w:p>
            <w:r>
              <w:rPr>
                <w:sz w:val="17"/>
              </w:rPr>
              <w:t>One public wearable exam-stress dataset in the October 2025 validation; later 2026 work uses two open wearable datasets</w:t>
            </w:r>
          </w:p>
        </w:tc>
        <w:tc>
          <w:tcPr>
            <w:tcW w:type="dxa" w:w="3250"/>
            <w:vAlign w:val="top"/>
          </w:tcPr>
          <w:p>
            <w:r>
              <w:rPr>
                <w:sz w:val="17"/>
              </w:rPr>
              <w:t>Empirical validation / modelling, not a mass falsification count.</w:t>
            </w:r>
          </w:p>
        </w:tc>
      </w:tr>
      <w:tr>
        <w:tc>
          <w:tcPr>
            <w:tcW w:type="dxa" w:w="3250"/>
            <w:vAlign w:val="top"/>
          </w:tcPr>
          <w:p>
            <w:r>
              <w:rPr>
                <w:sz w:val="17"/>
              </w:rPr>
              <w:t>Al-Mayahi ULSP</w:t>
            </w:r>
          </w:p>
        </w:tc>
        <w:tc>
          <w:tcPr>
            <w:tcW w:type="dxa" w:w="3250"/>
            <w:vAlign w:val="top"/>
          </w:tcPr>
          <w:p>
            <w:r>
              <w:rPr>
                <w:sz w:val="17"/>
              </w:rPr>
              <w:t>Seven-domain post-diction and residual analysis</w:t>
            </w:r>
          </w:p>
        </w:tc>
        <w:tc>
          <w:tcPr>
            <w:tcW w:type="dxa" w:w="3250"/>
            <w:vAlign w:val="top"/>
          </w:tcPr>
          <w:p>
            <w:r>
              <w:rPr>
                <w:sz w:val="17"/>
              </w:rPr>
              <w:t>Cross-domain empirical/post-dictive evaluation reported by the author; not seven independent replications.</w:t>
            </w:r>
          </w:p>
        </w:tc>
      </w:tr>
      <w:tr>
        <w:tc>
          <w:tcPr>
            <w:tcW w:type="dxa" w:w="3250"/>
            <w:vAlign w:val="top"/>
          </w:tcPr>
          <w:p>
            <w:r>
              <w:rPr>
                <w:sz w:val="17"/>
              </w:rPr>
              <w:t>Paton</w:t>
            </w:r>
          </w:p>
        </w:tc>
        <w:tc>
          <w:tcPr>
            <w:tcW w:type="dxa" w:w="3250"/>
            <w:vAlign w:val="top"/>
          </w:tcPr>
          <w:p>
            <w:r>
              <w:rPr>
                <w:sz w:val="17"/>
              </w:rPr>
              <w:t>No mass falsification count identified in the foundational records reviewed</w:t>
            </w:r>
          </w:p>
        </w:tc>
        <w:tc>
          <w:tcPr>
            <w:tcW w:type="dxa" w:w="3250"/>
            <w:vAlign w:val="top"/>
          </w:tcPr>
          <w:p>
            <w:r>
              <w:rPr>
                <w:sz w:val="17"/>
              </w:rPr>
              <w:t>Primarily formal/admissibility work plus later illustrative AI interactions.</w:t>
            </w:r>
          </w:p>
        </w:tc>
      </w:tr>
      <w:tr>
        <w:tc>
          <w:tcPr>
            <w:tcW w:type="dxa" w:w="3250"/>
            <w:vAlign w:val="top"/>
          </w:tcPr>
          <w:p>
            <w:r>
              <w:rPr>
                <w:sz w:val="17"/>
              </w:rPr>
              <w:t>Zoran — ZBench Ω9</w:t>
            </w:r>
          </w:p>
        </w:tc>
        <w:tc>
          <w:tcPr>
            <w:tcW w:type="dxa" w:w="3250"/>
            <w:vAlign w:val="top"/>
          </w:tcPr>
          <w:p>
            <w:r>
              <w:rPr>
                <w:sz w:val="17"/>
              </w:rPr>
              <w:t>n = 11 AI systems; seven mandatory quantitative tests; additional ΔRedTeam v2.2 qualitative layer</w:t>
            </w:r>
          </w:p>
        </w:tc>
        <w:tc>
          <w:tcPr>
            <w:tcW w:type="dxa" w:w="3250"/>
            <w:vAlign w:val="top"/>
          </w:tcPr>
          <w:p>
            <w:r>
              <w:rPr>
                <w:sz w:val="17"/>
              </w:rPr>
              <w:t>Cross-model evaluation. The product 11×7 must not be relabelled as “77 independent falsifications”.</w:t>
            </w:r>
          </w:p>
        </w:tc>
      </w:tr>
      <w:tr>
        <w:tc>
          <w:tcPr>
            <w:tcW w:type="dxa" w:w="3250"/>
            <w:vAlign w:val="top"/>
          </w:tcPr>
          <w:p>
            <w:r>
              <w:rPr>
                <w:sz w:val="17"/>
              </w:rPr>
              <w:t>Zoran — PITON+</w:t>
            </w:r>
          </w:p>
        </w:tc>
        <w:tc>
          <w:tcPr>
            <w:tcW w:type="dxa" w:w="3250"/>
            <w:vAlign w:val="top"/>
          </w:tcPr>
          <w:p>
            <w:r>
              <w:rPr>
                <w:sz w:val="17"/>
              </w:rPr>
              <w:t>Public code default n_simulations = 100,000; example __main__ run = 10,000 vectors</w:t>
            </w:r>
          </w:p>
        </w:tc>
        <w:tc>
          <w:tcPr>
            <w:tcW w:type="dxa" w:w="3250"/>
            <w:vAlign w:val="top"/>
          </w:tcPr>
          <w:p>
            <w:r>
              <w:rPr>
                <w:sz w:val="17"/>
              </w:rPr>
              <w:t>Fractal parameter sweep / micro-law detection. These are simulation vectors, not independent scientific falsifications.</w:t>
            </w:r>
          </w:p>
        </w:tc>
      </w:tr>
      <w:tr>
        <w:tc>
          <w:tcPr>
            <w:tcW w:type="dxa" w:w="3250"/>
            <w:vAlign w:val="top"/>
          </w:tcPr>
          <w:p>
            <w:r>
              <w:rPr>
                <w:sz w:val="17"/>
              </w:rPr>
              <w:t>Zoran — LLM falsification methodology</w:t>
            </w:r>
          </w:p>
        </w:tc>
        <w:tc>
          <w:tcPr>
            <w:tcW w:type="dxa" w:w="3250"/>
            <w:vAlign w:val="top"/>
          </w:tcPr>
          <w:p>
            <w:r>
              <w:rPr>
                <w:sz w:val="17"/>
              </w:rPr>
              <w:t>Six dimensions N, K, D, t, E, R; multiple constrained engines and an independent falsification attempt are specified</w:t>
            </w:r>
          </w:p>
        </w:tc>
        <w:tc>
          <w:tcPr>
            <w:tcW w:type="dxa" w:w="3250"/>
            <w:vAlign w:val="top"/>
          </w:tcPr>
          <w:p>
            <w:r>
              <w:rPr>
                <w:sz w:val="17"/>
              </w:rPr>
              <w:t>Methodological framework for massive falsification. The aggregate number of executed falsifications is not inferred from the landing page and remains a ledger task.</w:t>
            </w:r>
          </w:p>
        </w:tc>
      </w:tr>
    </w:tbl>
    <w:p>
      <w:pPr>
        <w:pStyle w:val="Heading2"/>
        <w:keepNext/>
        <w:keepLines/>
      </w:pPr>
      <w:r>
        <w:t>15.3 Why independent routes matter</w:t>
      </w:r>
    </w:p>
    <w:p>
      <w:pPr>
        <w:pStyle w:val="ListBullet"/>
      </w:pPr>
      <w:r>
        <w:t>Convergence is stronger when the routes are heterogeneous. Autopoiesis begins from biological organization; viability theory from constrained trajectories; quantum coherence from state-space/resource theory; closure of constraints from biological organization; UCP from reference/work/alignment dynamics; Paton from admissibility; ULSP from persistence dynamics; and Zoran from a transversal phenomenological gauge plus multi-frame evaluation.</w:t>
      </w:r>
    </w:p>
    <w:p>
      <w:pPr>
        <w:pStyle w:val="ListBullet"/>
      </w:pPr>
      <w:r>
        <w:t>If mathematically related motifs recur after normalization despite different starting vocabularies and domains, the appropriate scientific response is not to collapse them into one theory by declaration. It is to construct explicit transformation maps and design discriminating experiments that can show where the apparent convergence breaks.</w:t>
      </w:r>
    </w:p>
    <w:p>
      <w:pPr>
        <w:pStyle w:val="ListBullet"/>
      </w:pPr>
      <w:r>
        <w:t>Independent convergence therefore increases the value of a common research programme, but does not by itself establish universality, priority, or identity between theories.</w:t>
      </w:r>
    </w:p>
    <w:p>
      <w:pPr>
        <w:pStyle w:val="Heading2"/>
        <w:keepNext/>
        <w:keepLines/>
      </w:pPr>
      <w:r>
        <w:t>15.4 AI and the cost of transversal science</w:t>
      </w:r>
    </w:p>
    <w:p>
      <w:r>
        <w:t>The historical contrast should not be framed as “Cartesian science could not discover this”. Decomposition and specialization have been among the most productive methods in science. The narrower and defensible hypothesis is institutional and computational: specialization increases the cost of searching, translating and jointly testing concepts that are expressed differently across disciplines. Large language models, retrieval systems, symbolic engines and automated falsification pipelines can sharply reduce that coordination cost by traversing literatures, normalizing vocabulary, generating candidate correspondences and executing large comparison surfaces.</w:t>
      </w:r>
    </w:p>
    <w:p>
      <w:r>
        <w:t>This creates a methodological possibility that was previously expensive rather than logically impossible: one researcher or small team can interrogate many disciplinary frames in parallel, then subject candidate invariants to automated contradiction and replay. The scientific risk is equally important: AI can manufacture superficial analogies at scale. Therefore AI-assisted transversal discovery is credible only when every proposed bridge is followed by explicit equations, declared assumptions, source dates, counterexamples, reproducible tests and domain-expert challenge.</w:t>
      </w:r>
    </w:p>
    <w:p>
      <w:pPr>
        <w:pStyle w:val="Heading2"/>
        <w:keepNext/>
        <w:keepLines/>
      </w:pPr>
      <w:r>
        <w:t>15.5 A falsifiable epistemic hypothesis for the final White Paper</w:t>
      </w:r>
    </w:p>
    <w:p>
      <w:r>
        <w:rPr>
          <w:b/>
        </w:rPr>
        <w:t xml:space="preserve">H_EP — Transversal-search hypothesis. </w:t>
      </w:r>
      <w:r>
        <w:t>For scientific questions whose candidate invariants are distributed across multiple disciplinary vocabularies, AI-assisted retrieval, formal normalization and automated adversarial testing can increase the probability of detecting valid cross-domain correspondences relative to an otherwise comparable siloed search process, without implying that the AI itself validates the resulting theory.</w:t>
      </w:r>
    </w:p>
    <w:p>
      <w:pPr/>
      <w:r>
        <w:t>This hypothesis can itself be tested. A future benchmark should compare matched human-only, AI-assisted, and AI+formal-gate teams on blinded cross-domain tasks, measuring:</w:t>
      </w:r>
    </w:p>
    <w:p>
      <w:pPr>
        <w:pStyle w:val="ListBullet"/>
      </w:pPr>
      <w:r>
        <w:t>true cross-domain correspondences recovered;</w:t>
      </w:r>
    </w:p>
    <w:p>
      <w:pPr>
        <w:pStyle w:val="ListBullet"/>
      </w:pPr>
      <w:r>
        <w:t>false analogies generated;</w:t>
      </w:r>
    </w:p>
    <w:p>
      <w:pPr>
        <w:pStyle w:val="ListBullet"/>
      </w:pPr>
      <w:r>
        <w:t>time/cost to locate relevant prior art;</w:t>
      </w:r>
    </w:p>
    <w:p>
      <w:pPr>
        <w:pStyle w:val="ListBullet"/>
      </w:pPr>
      <w:r>
        <w:t>number and diversity of counterexamples found;</w:t>
      </w:r>
    </w:p>
    <w:p>
      <w:pPr>
        <w:pStyle w:val="ListBullet"/>
      </w:pPr>
      <w:r>
        <w:t>reproducibility of final verdicts;</w:t>
      </w:r>
    </w:p>
    <w:p>
      <w:pPr>
        <w:pStyle w:val="ListBullet"/>
      </w:pPr>
      <w:r>
        <w:t>performance after independent domain-expert review.</w:t>
      </w:r>
    </w:p>
    <w:p>
      <w:pPr>
        <w:pStyle w:val="Heading2"/>
        <w:keepNext/>
        <w:keepLines/>
      </w:pPr>
      <w:r>
        <w:t>15.6 Provisional conclusion</w:t>
      </w:r>
    </w:p>
    <w:p>
      <w:r>
        <w:rPr>
          <w:b/>
        </w:rPr>
        <w:t xml:space="preserve">PROVISIONAL — </w:t>
      </w:r>
      <w:r>
        <w:t>The emerging history is compatible with a picture in which several communities reached related coherence/persistence structures through different routes, while AI-era tools accelerated cross-domain comparison and made high-volume adversarial exploration accessible to much smaller research teams. The evidence does not justify saying that disciplinary science was incapable of this synthesis, nor that AI proves the universal coherence hypothesis. It does justify testing whether AI-assisted transversal methods materially improve the discovery and falsification of cross-domain invariants.</w:t>
      </w:r>
    </w:p>
    <w:p>
      <w:pPr>
        <w:pStyle w:val="Heading2"/>
        <w:keepNext/>
        <w:keepLines/>
      </w:pPr>
      <w:r>
        <w:t>Sources added for Section 15</w:t>
      </w:r>
    </w:p>
    <w:p>
      <w:pPr>
        <w:pStyle w:val="ListBullet"/>
      </w:pPr>
      <w:r>
        <w:t>Tabary, F. (2026). La falsification devient possible maintenant, grâce aux LLM — mais seulement si on les utilise correctement. Zenodo. DOI: 10.5281/zenodo.18497598.</w:t>
      </w:r>
    </w:p>
    <w:p>
      <w:pPr>
        <w:pStyle w:val="ListBullet"/>
      </w:pPr>
      <w:r>
        <w:t>Tabary, F. et al. (2025). ZBench Ω9 — A Unified Scientific Protocol for Multi-AI Reliability and Coherence Evaluation. Zenodo. DOI: 10.5281/zenodo.17609005.</w:t>
      </w:r>
    </w:p>
    <w:p>
      <w:pPr>
        <w:pStyle w:val="ListBullet"/>
      </w:pPr>
      <w:r>
        <w:t>Coherent Intelligence Inc. Research Division (2025). Coherence Engineering: A Universal Framework for Reliable AI Systems. 5 June 2025.</w:t>
      </w:r>
    </w:p>
    <w:p>
      <w:pPr>
        <w:pStyle w:val="ListBullet"/>
      </w:pPr>
      <w:r>
        <w:t>Bostick, D. &amp; AI, Chiral (2025). Resonant Ascent (Consciousness). Zenodo record 15587329. Used here only as evidence of AI participation in the broader CODES programme.</w:t>
      </w:r>
    </w:p>
    <w:p>
      <w:pPr>
        <w:pStyle w:val="ListBullet"/>
      </w:pPr>
      <w:r>
        <w:t>Paton, A. J. (2026). The Structural Fingerprint Method: A Human–AI Interpretive Framework for Admissibility-Based Structural Reinterpretation Within the Paton System. DOI: 10.5281/zenodo.20302093.</w:t>
      </w:r>
    </w:p>
    <w:p>
      <w:pPr>
        <w:pStyle w:val="ListBullet"/>
      </w:pPr>
      <w:r>
        <w:t>Al-Mayahi, A. (2026). Coherence as Mutual Information: The Necessary and Sufficient Deductive-Empirical Proof of the Universal Law of Structural Persistence. DOI: 10.5281/zenodo.19185301.</w:t>
      </w:r>
    </w:p>
    <w:p>
      <w:pPr>
        <w:pStyle w:val="ListBullet"/>
      </w:pPr>
      <w:r>
        <w:t>Hensgen, A. (2025). Δ.72 Wearable Exam Stress Validation Report. DOI: 10.5281/zenodo.17363100.</w:t>
      </w:r>
    </w:p>
    <w:p>
      <w:r>
        <w:br w:type="page"/>
      </w:r>
    </w:p>
    <w:p>
      <w:pPr>
        <w:pStyle w:val="Heading1"/>
        <w:keepNext/>
        <w:keepLines/>
      </w:pPr>
      <w:r>
        <w:t>16. Pass 3/10 — Formal relation certificates</w:t>
      </w:r>
    </w:p>
    <w:p>
      <w:r>
        <w:t>Purpose. This pass does not ask whether two theories “look similar”. It asks whether one formula can be obtained from another under explicit assumptions, whether only a decision/proxy can be embedded, or whether a countermodel proves that the two mathematical objects contain different information. The certificates below are audit objects created on 26 August 2026; they are not retrodated as historical claims of any author.</w:t>
      </w:r>
    </w:p>
    <w:p>
      <w:pPr>
        <w:pStyle w:val="Heading2"/>
        <w:keepNext/>
        <w:keepLines/>
      </w:pPr>
      <w:r>
        <w:t>16.1 Certificate taxonomy</w:t>
      </w:r>
    </w:p>
    <w:tbl>
      <w:tblPr>
        <w:tblStyle w:val="TableGrid"/>
        <w:tblW w:type="auto" w:w="0"/>
        <w:jc w:val="center"/>
        <w:tblLook w:firstColumn="1" w:firstRow="1" w:lastColumn="0" w:lastRow="0" w:noHBand="0" w:noVBand="1" w:val="04A0"/>
      </w:tblPr>
      <w:tblGrid>
        <w:gridCol w:w="2437"/>
        <w:gridCol w:w="2437"/>
        <w:gridCol w:w="2437"/>
        <w:gridCol w:w="2437"/>
      </w:tblGrid>
      <w:tr>
        <w:tc>
          <w:tcPr>
            <w:tcW w:type="dxa" w:w="2437"/>
            <w:vAlign w:val="top"/>
            <w:shd w:fill="D9EAF7"/>
          </w:tcPr>
          <w:p>
            <w:r/>
            <w:r>
              <w:rPr>
                <w:b/>
                <w:sz w:val="17"/>
              </w:rPr>
              <w:t>Certificate</w:t>
            </w:r>
          </w:p>
        </w:tc>
        <w:tc>
          <w:tcPr>
            <w:tcW w:type="dxa" w:w="2437"/>
            <w:vAlign w:val="top"/>
            <w:shd w:fill="D9EAF7"/>
          </w:tcPr>
          <w:p>
            <w:r/>
            <w:r>
              <w:rPr>
                <w:b/>
                <w:sz w:val="17"/>
              </w:rPr>
              <w:t>Meaning</w:t>
            </w:r>
          </w:p>
        </w:tc>
        <w:tc>
          <w:tcPr>
            <w:tcW w:type="dxa" w:w="2437"/>
            <w:vAlign w:val="top"/>
            <w:shd w:fill="D9EAF7"/>
          </w:tcPr>
          <w:p>
            <w:r/>
            <w:r>
              <w:rPr>
                <w:b/>
                <w:sz w:val="17"/>
              </w:rPr>
              <w:t>Allowed conclusion</w:t>
            </w:r>
          </w:p>
        </w:tc>
        <w:tc>
          <w:tcPr>
            <w:tcW w:type="dxa" w:w="2437"/>
            <w:vAlign w:val="top"/>
            <w:shd w:fill="D9EAF7"/>
          </w:tcPr>
          <w:p>
            <w:r/>
            <w:r>
              <w:rPr>
                <w:b/>
                <w:sz w:val="17"/>
              </w:rPr>
              <w:t>Forbidden conclusion</w:t>
            </w:r>
          </w:p>
        </w:tc>
      </w:tr>
      <w:tr>
        <w:tc>
          <w:tcPr>
            <w:tcW w:type="dxa" w:w="2437"/>
            <w:vAlign w:val="top"/>
          </w:tcPr>
          <w:p>
            <w:r/>
            <w:r>
              <w:rPr>
                <w:b w:val="0"/>
                <w:sz w:val="16"/>
              </w:rPr>
              <w:t>C-A ALGEBRAIC</w:t>
            </w:r>
          </w:p>
        </w:tc>
        <w:tc>
          <w:tcPr>
            <w:tcW w:type="dxa" w:w="2437"/>
            <w:vAlign w:val="top"/>
          </w:tcPr>
          <w:p>
            <w:r/>
            <w:r>
              <w:rPr>
                <w:b w:val="0"/>
                <w:sz w:val="16"/>
              </w:rPr>
              <w:t>Exact symbolic identity/rearrangement under stated non-zero/domain assumptions.</w:t>
            </w:r>
          </w:p>
        </w:tc>
        <w:tc>
          <w:tcPr>
            <w:tcW w:type="dxa" w:w="2437"/>
            <w:vAlign w:val="top"/>
          </w:tcPr>
          <w:p>
            <w:r/>
            <w:r>
              <w:rPr>
                <w:b w:val="0"/>
                <w:sz w:val="16"/>
              </w:rPr>
              <w:t>E0/E1 relation is demonstrated.</w:t>
            </w:r>
          </w:p>
        </w:tc>
        <w:tc>
          <w:tcPr>
            <w:tcW w:type="dxa" w:w="2437"/>
            <w:vAlign w:val="top"/>
          </w:tcPr>
          <w:p>
            <w:r/>
            <w:r>
              <w:rPr>
                <w:b w:val="0"/>
                <w:sz w:val="16"/>
              </w:rPr>
              <w:t>Scientific/domain equivalence unless semantics also match.</w:t>
            </w:r>
          </w:p>
        </w:tc>
      </w:tr>
      <w:tr>
        <w:tc>
          <w:tcPr>
            <w:tcW w:type="dxa" w:w="2437"/>
            <w:vAlign w:val="top"/>
          </w:tcPr>
          <w:p>
            <w:r/>
            <w:r>
              <w:rPr>
                <w:b w:val="0"/>
                <w:sz w:val="16"/>
              </w:rPr>
              <w:t>C-P PROJECTION</w:t>
            </w:r>
          </w:p>
        </w:tc>
        <w:tc>
          <w:tcPr>
            <w:tcW w:type="dxa" w:w="2437"/>
            <w:vAlign w:val="top"/>
          </w:tcPr>
          <w:p>
            <w:r/>
            <w:r>
              <w:rPr>
                <w:b w:val="0"/>
                <w:sz w:val="16"/>
              </w:rPr>
              <w:t>An external observable/rule can instantiate one Zoran operand or a threshold decision.</w:t>
            </w:r>
          </w:p>
        </w:tc>
        <w:tc>
          <w:tcPr>
            <w:tcW w:type="dxa" w:w="2437"/>
            <w:vAlign w:val="top"/>
          </w:tcPr>
          <w:p>
            <w:r/>
            <w:r>
              <w:rPr>
                <w:b w:val="0"/>
                <w:sz w:val="16"/>
              </w:rPr>
              <w:t>Compatibility / usable proxy is demonstrated.</w:t>
            </w:r>
          </w:p>
        </w:tc>
        <w:tc>
          <w:tcPr>
            <w:tcW w:type="dxa" w:w="2437"/>
            <w:vAlign w:val="top"/>
          </w:tcPr>
          <w:p>
            <w:r/>
            <w:r>
              <w:rPr>
                <w:b w:val="0"/>
                <w:sz w:val="16"/>
              </w:rPr>
              <w:t>The external law “is” Zoran or vice versa.</w:t>
            </w:r>
          </w:p>
        </w:tc>
      </w:tr>
      <w:tr>
        <w:tc>
          <w:tcPr>
            <w:tcW w:type="dxa" w:w="2437"/>
            <w:vAlign w:val="top"/>
          </w:tcPr>
          <w:p>
            <w:r/>
            <w:r>
              <w:rPr>
                <w:b w:val="0"/>
                <w:sz w:val="16"/>
              </w:rPr>
              <w:t>C-X EXTENSION</w:t>
            </w:r>
          </w:p>
        </w:tc>
        <w:tc>
          <w:tcPr>
            <w:tcW w:type="dxa" w:w="2437"/>
            <w:vAlign w:val="top"/>
          </w:tcPr>
          <w:p>
            <w:r/>
            <w:r>
              <w:rPr>
                <w:b w:val="0"/>
                <w:sz w:val="16"/>
              </w:rPr>
              <w:t>External form adds state, derivative, path, geometry, threshold dynamics, or other information absent from a scalar endpoint gauge.</w:t>
            </w:r>
          </w:p>
        </w:tc>
        <w:tc>
          <w:tcPr>
            <w:tcW w:type="dxa" w:w="2437"/>
            <w:vAlign w:val="top"/>
          </w:tcPr>
          <w:p>
            <w:r/>
            <w:r>
              <w:rPr>
                <w:b w:val="0"/>
                <w:sz w:val="16"/>
              </w:rPr>
              <w:t>External delta is demonstrated.</w:t>
            </w:r>
          </w:p>
        </w:tc>
        <w:tc>
          <w:tcPr>
            <w:tcW w:type="dxa" w:w="2437"/>
            <w:vAlign w:val="top"/>
          </w:tcPr>
          <w:p>
            <w:r/>
            <w:r>
              <w:rPr>
                <w:b w:val="0"/>
                <w:sz w:val="16"/>
              </w:rPr>
              <w:t>That the extension was absent from all earlier Zoran artefacts unless separately searched.</w:t>
            </w:r>
          </w:p>
        </w:tc>
      </w:tr>
      <w:tr>
        <w:tc>
          <w:tcPr>
            <w:tcW w:type="dxa" w:w="2437"/>
            <w:vAlign w:val="top"/>
          </w:tcPr>
          <w:p>
            <w:r/>
            <w:r>
              <w:rPr>
                <w:b w:val="0"/>
                <w:sz w:val="16"/>
              </w:rPr>
              <w:t>C-N COUNTERMODEL</w:t>
            </w:r>
          </w:p>
        </w:tc>
        <w:tc>
          <w:tcPr>
            <w:tcW w:type="dxa" w:w="2437"/>
            <w:vAlign w:val="top"/>
          </w:tcPr>
          <w:p>
            <w:r/>
            <w:r>
              <w:rPr>
                <w:b w:val="0"/>
                <w:sz w:val="16"/>
              </w:rPr>
              <w:t>Two cases have identical input to one formalism but different output in the other.</w:t>
            </w:r>
          </w:p>
        </w:tc>
        <w:tc>
          <w:tcPr>
            <w:tcW w:type="dxa" w:w="2437"/>
            <w:vAlign w:val="top"/>
          </w:tcPr>
          <w:p>
            <w:r/>
            <w:r>
              <w:rPr>
                <w:b w:val="0"/>
                <w:sz w:val="16"/>
              </w:rPr>
              <w:t>Non-equivalence of the two mathematical objects is demonstrated.</w:t>
            </w:r>
          </w:p>
        </w:tc>
        <w:tc>
          <w:tcPr>
            <w:tcW w:type="dxa" w:w="2437"/>
            <w:vAlign w:val="top"/>
          </w:tcPr>
          <w:p>
            <w:r/>
            <w:r>
              <w:rPr>
                <w:b w:val="0"/>
                <w:sz w:val="16"/>
              </w:rPr>
              <w:t>No conceptual relationship at all.</w:t>
            </w:r>
          </w:p>
        </w:tc>
      </w:tr>
      <w:tr>
        <w:tc>
          <w:tcPr>
            <w:tcW w:type="dxa" w:w="2437"/>
            <w:vAlign w:val="top"/>
          </w:tcPr>
          <w:p>
            <w:r/>
            <w:r>
              <w:rPr>
                <w:b w:val="0"/>
                <w:sz w:val="16"/>
              </w:rPr>
              <w:t>C-U UNRESOLVED</w:t>
            </w:r>
          </w:p>
        </w:tc>
        <w:tc>
          <w:tcPr>
            <w:tcW w:type="dxa" w:w="2437"/>
            <w:vAlign w:val="top"/>
          </w:tcPr>
          <w:p>
            <w:r/>
            <w:r>
              <w:rPr>
                <w:b w:val="0"/>
                <w:sz w:val="16"/>
              </w:rPr>
              <w:t>Primary equation/version or historical antecedent is incomplete.</w:t>
            </w:r>
          </w:p>
        </w:tc>
        <w:tc>
          <w:tcPr>
            <w:tcW w:type="dxa" w:w="2437"/>
            <w:vAlign w:val="top"/>
          </w:tcPr>
          <w:p>
            <w:r/>
            <w:r>
              <w:rPr>
                <w:b w:val="0"/>
                <w:sz w:val="16"/>
              </w:rPr>
              <w:t>Claim stays open.</w:t>
            </w:r>
          </w:p>
        </w:tc>
        <w:tc>
          <w:tcPr>
            <w:tcW w:type="dxa" w:w="2437"/>
            <w:vAlign w:val="top"/>
          </w:tcPr>
          <w:p>
            <w:r/>
            <w:r>
              <w:rPr>
                <w:b w:val="0"/>
                <w:sz w:val="16"/>
              </w:rPr>
              <w:t>Priority or equivalence.</w:t>
            </w:r>
          </w:p>
        </w:tc>
      </w:tr>
    </w:tbl>
    <w:p>
      <w:pPr>
        <w:pStyle w:val="Heading2"/>
        <w:keepNext/>
        <w:keepLines/>
      </w:pPr>
      <w:r>
        <w:t>16.2 Certificate Z-ALG-001 — exact algebraic closure of the current scalar gauge</w:t>
      </w:r>
    </w:p>
    <w:p>
      <w:r>
        <w:t>For non-zero β, ΔΦ, T and σ, the working gauge</w:t>
      </w:r>
    </w:p>
    <w:p>
      <w:pPr>
        <w:jc w:val="center"/>
      </w:pPr>
      <w:r>
        <w:rPr>
          <w:rFonts w:ascii="Cambria Math" w:hAnsi="Cambria Math"/>
          <w:b/>
          <w:sz w:val="22"/>
        </w:rPr>
        <w:t>S = β·ΔΦ / (T·σ·1)</w:t>
      </w:r>
    </w:p>
    <w:p>
      <w:r>
        <w:t>has the exact rearrangements:</w:t>
      </w:r>
    </w:p>
    <w:p>
      <w:pPr>
        <w:jc w:val="center"/>
      </w:pPr>
      <w:r>
        <w:rPr>
          <w:rFonts w:ascii="Cambria Math" w:hAnsi="Cambria Math"/>
          <w:b/>
          <w:sz w:val="22"/>
        </w:rPr>
        <w:t>S·T·σ = β·ΔΦ</w:t>
      </w:r>
    </w:p>
    <w:p>
      <w:pPr>
        <w:jc w:val="center"/>
      </w:pPr>
      <w:r>
        <w:rPr>
          <w:rFonts w:ascii="Cambria Math" w:hAnsi="Cambria Math"/>
          <w:b/>
          <w:sz w:val="22"/>
        </w:rPr>
        <w:t>β = S·T·σ / ΔΦ</w:t>
      </w:r>
    </w:p>
    <w:p>
      <w:pPr>
        <w:jc w:val="center"/>
      </w:pPr>
      <w:r>
        <w:rPr>
          <w:rFonts w:ascii="Cambria Math" w:hAnsi="Cambria Math"/>
          <w:b/>
          <w:sz w:val="22"/>
        </w:rPr>
        <w:t>ΔΦ = S·T·σ / β</w:t>
      </w:r>
    </w:p>
    <w:p>
      <w:pPr>
        <w:jc w:val="center"/>
      </w:pPr>
      <w:r>
        <w:rPr>
          <w:rFonts w:ascii="Cambria Math" w:hAnsi="Cambria Math"/>
          <w:b/>
          <w:sz w:val="22"/>
        </w:rPr>
        <w:t>T = β·ΔΦ / (S·σ)</w:t>
      </w:r>
    </w:p>
    <w:p>
      <w:pPr>
        <w:jc w:val="center"/>
      </w:pPr>
      <w:r>
        <w:rPr>
          <w:rFonts w:ascii="Cambria Math" w:hAnsi="Cambria Math"/>
          <w:b/>
          <w:sz w:val="22"/>
        </w:rPr>
        <w:t>σ = β·ΔΦ / (S·T)</w:t>
      </w:r>
    </w:p>
    <w:p>
      <w:r>
        <w:t>Symbolic check: substituting S = βΔΦ/(Tσ) into S·T·σ − β·ΔΦ simplifies to 0. These are C-A certificates. They establish algebraic closure only; they do not make an external variable semantically identical to β, ΔΦ, T or σ.</w:t>
      </w:r>
    </w:p>
    <w:p>
      <w:pPr>
        <w:pStyle w:val="Heading2"/>
        <w:keepNext/>
        <w:keepLines/>
      </w:pPr>
      <w:r>
        <w:t>16.3 Master certificate matrix</w:t>
      </w:r>
    </w:p>
    <w:tbl>
      <w:tblPr>
        <w:tblStyle w:val="TableGrid"/>
        <w:tblW w:type="auto" w:w="0"/>
        <w:jc w:val="center"/>
        <w:tblLook w:firstColumn="1" w:firstRow="1" w:lastColumn="0" w:lastRow="0" w:noHBand="0" w:noVBand="1" w:val="04A0"/>
      </w:tblPr>
      <w:tblGrid>
        <w:gridCol w:w="1393"/>
        <w:gridCol w:w="1393"/>
        <w:gridCol w:w="1393"/>
        <w:gridCol w:w="1393"/>
        <w:gridCol w:w="1393"/>
        <w:gridCol w:w="1393"/>
        <w:gridCol w:w="1393"/>
      </w:tblGrid>
      <w:tr>
        <w:tc>
          <w:tcPr>
            <w:tcW w:type="dxa" w:w="1393"/>
            <w:vAlign w:val="top"/>
            <w:shd w:fill="D9EAF7"/>
          </w:tcPr>
          <w:p>
            <w:r/>
            <w:r>
              <w:rPr>
                <w:b/>
                <w:sz w:val="15"/>
              </w:rPr>
              <w:t>Programme / form</w:t>
            </w:r>
          </w:p>
        </w:tc>
        <w:tc>
          <w:tcPr>
            <w:tcW w:type="dxa" w:w="1393"/>
            <w:vAlign w:val="top"/>
            <w:shd w:fill="D9EAF7"/>
          </w:tcPr>
          <w:p>
            <w:r/>
            <w:r>
              <w:rPr>
                <w:b/>
                <w:sz w:val="15"/>
              </w:rPr>
              <w:t>Primary mathematical object</w:t>
            </w:r>
          </w:p>
        </w:tc>
        <w:tc>
          <w:tcPr>
            <w:tcW w:type="dxa" w:w="1393"/>
            <w:vAlign w:val="top"/>
            <w:shd w:fill="D9EAF7"/>
          </w:tcPr>
          <w:p>
            <w:r/>
            <w:r>
              <w:rPr>
                <w:b/>
                <w:sz w:val="15"/>
              </w:rPr>
              <w:t>Certificate</w:t>
            </w:r>
          </w:p>
        </w:tc>
        <w:tc>
          <w:tcPr>
            <w:tcW w:type="dxa" w:w="1393"/>
            <w:vAlign w:val="top"/>
            <w:shd w:fill="D9EAF7"/>
          </w:tcPr>
          <w:p>
            <w:r/>
            <w:r>
              <w:rPr>
                <w:b/>
                <w:sz w:val="15"/>
              </w:rPr>
              <w:t>Relation to Zoran</w:t>
            </w:r>
          </w:p>
        </w:tc>
        <w:tc>
          <w:tcPr>
            <w:tcW w:type="dxa" w:w="1393"/>
            <w:vAlign w:val="top"/>
            <w:shd w:fill="D9EAF7"/>
          </w:tcPr>
          <w:p>
            <w:r/>
            <w:r>
              <w:rPr>
                <w:b/>
                <w:sz w:val="15"/>
              </w:rPr>
              <w:t>What is proved</w:t>
            </w:r>
          </w:p>
        </w:tc>
        <w:tc>
          <w:tcPr>
            <w:tcW w:type="dxa" w:w="1393"/>
            <w:vAlign w:val="top"/>
            <w:shd w:fill="D9EAF7"/>
          </w:tcPr>
          <w:p>
            <w:r/>
            <w:r>
              <w:rPr>
                <w:b/>
                <w:sz w:val="15"/>
              </w:rPr>
              <w:t>What is not proved</w:t>
            </w:r>
          </w:p>
        </w:tc>
        <w:tc>
          <w:tcPr>
            <w:tcW w:type="dxa" w:w="1393"/>
            <w:vAlign w:val="top"/>
            <w:shd w:fill="D9EAF7"/>
          </w:tcPr>
          <w:p>
            <w:r/>
            <w:r>
              <w:rPr>
                <w:b/>
                <w:sz w:val="15"/>
              </w:rPr>
              <w:t>Priority note</w:t>
            </w:r>
          </w:p>
        </w:tc>
      </w:tr>
      <w:tr>
        <w:tc>
          <w:tcPr>
            <w:tcW w:type="dxa" w:w="1393"/>
            <w:vAlign w:val="top"/>
          </w:tcPr>
          <w:p>
            <w:r/>
            <w:r>
              <w:rPr>
                <w:b w:val="0"/>
                <w:sz w:val="13"/>
              </w:rPr>
              <w:t>Kuramoto / phase order</w:t>
            </w:r>
          </w:p>
        </w:tc>
        <w:tc>
          <w:tcPr>
            <w:tcW w:type="dxa" w:w="1393"/>
            <w:vAlign w:val="top"/>
          </w:tcPr>
          <w:p>
            <w:r/>
            <w:r>
              <w:rPr>
                <w:b w:val="0"/>
                <w:sz w:val="13"/>
              </w:rPr>
              <w:t>R = |N⁻¹Σ exp(iθⱼ)|</w:t>
            </w:r>
          </w:p>
        </w:tc>
        <w:tc>
          <w:tcPr>
            <w:tcW w:type="dxa" w:w="1393"/>
            <w:vAlign w:val="top"/>
          </w:tcPr>
          <w:p>
            <w:r/>
            <w:r>
              <w:rPr>
                <w:b w:val="0"/>
                <w:sz w:val="13"/>
              </w:rPr>
              <w:t>C-P</w:t>
            </w:r>
          </w:p>
        </w:tc>
        <w:tc>
          <w:tcPr>
            <w:tcW w:type="dxa" w:w="1393"/>
            <w:vAlign w:val="top"/>
          </w:tcPr>
          <w:p>
            <w:r/>
            <w:r>
              <w:rPr>
                <w:b w:val="0"/>
                <w:sz w:val="13"/>
              </w:rPr>
              <w:t>E3 proxy</w:t>
            </w:r>
          </w:p>
        </w:tc>
        <w:tc>
          <w:tcPr>
            <w:tcW w:type="dxa" w:w="1393"/>
            <w:vAlign w:val="top"/>
          </w:tcPr>
          <w:p>
            <w:r/>
            <w:r>
              <w:rPr>
                <w:b w:val="0"/>
                <w:sz w:val="13"/>
              </w:rPr>
              <w:t>R can serve as a phase-coherence observable inside a declared frame/operand.</w:t>
            </w:r>
          </w:p>
        </w:tc>
        <w:tc>
          <w:tcPr>
            <w:tcW w:type="dxa" w:w="1393"/>
            <w:vAlign w:val="top"/>
          </w:tcPr>
          <w:p>
            <w:r/>
            <w:r>
              <w:rPr>
                <w:b w:val="0"/>
                <w:sz w:val="13"/>
              </w:rPr>
              <w:t>R is not an admissibility/persistence law and does not determine S without β,T,σ mappings.</w:t>
            </w:r>
          </w:p>
        </w:tc>
        <w:tc>
          <w:tcPr>
            <w:tcW w:type="dxa" w:w="1393"/>
            <w:vAlign w:val="top"/>
          </w:tcPr>
          <w:p>
            <w:r/>
            <w:r>
              <w:rPr>
                <w:b w:val="0"/>
                <w:sz w:val="13"/>
              </w:rPr>
              <w:t>Long predates Zoran.</w:t>
            </w:r>
          </w:p>
        </w:tc>
      </w:tr>
      <w:tr>
        <w:tc>
          <w:tcPr>
            <w:tcW w:type="dxa" w:w="1393"/>
            <w:vAlign w:val="top"/>
          </w:tcPr>
          <w:p>
            <w:r/>
            <w:r>
              <w:rPr>
                <w:b w:val="0"/>
                <w:sz w:val="13"/>
              </w:rPr>
              <w:t>Baumgratz–Cramer–Plenio</w:t>
            </w:r>
          </w:p>
        </w:tc>
        <w:tc>
          <w:tcPr>
            <w:tcW w:type="dxa" w:w="1393"/>
            <w:vAlign w:val="top"/>
          </w:tcPr>
          <w:p>
            <w:r/>
            <w:r>
              <w:rPr>
                <w:b w:val="0"/>
                <w:sz w:val="13"/>
              </w:rPr>
              <w:t>C_rel(ρ)=S(ρ_diag)−S(ρ); C_l1=Σᵢ≠ⱼ|ρᵢⱼ|</w:t>
            </w:r>
          </w:p>
        </w:tc>
        <w:tc>
          <w:tcPr>
            <w:tcW w:type="dxa" w:w="1393"/>
            <w:vAlign w:val="top"/>
          </w:tcPr>
          <w:p>
            <w:r/>
            <w:r>
              <w:rPr>
                <w:b w:val="0"/>
                <w:sz w:val="13"/>
              </w:rPr>
              <w:t>C-P</w:t>
            </w:r>
          </w:p>
        </w:tc>
        <w:tc>
          <w:tcPr>
            <w:tcW w:type="dxa" w:w="1393"/>
            <w:vAlign w:val="top"/>
          </w:tcPr>
          <w:p>
            <w:r/>
            <w:r>
              <w:rPr>
                <w:b w:val="0"/>
                <w:sz w:val="13"/>
              </w:rPr>
              <w:t>E3/E6</w:t>
            </w:r>
          </w:p>
        </w:tc>
        <w:tc>
          <w:tcPr>
            <w:tcW w:type="dxa" w:w="1393"/>
            <w:vAlign w:val="top"/>
          </w:tcPr>
          <w:p>
            <w:r/>
            <w:r>
              <w:rPr>
                <w:b w:val="0"/>
                <w:sz w:val="13"/>
              </w:rPr>
              <w:t>Rigorous quantum-coherence monotones can instantiate a quantum-frame observable.</w:t>
            </w:r>
          </w:p>
        </w:tc>
        <w:tc>
          <w:tcPr>
            <w:tcW w:type="dxa" w:w="1393"/>
            <w:vAlign w:val="top"/>
          </w:tcPr>
          <w:p>
            <w:r/>
            <w:r>
              <w:rPr>
                <w:b w:val="0"/>
                <w:sz w:val="13"/>
              </w:rPr>
              <w:t>Basis-dependent resource coherence is not the phenomenal gauge.</w:t>
            </w:r>
          </w:p>
        </w:tc>
        <w:tc>
          <w:tcPr>
            <w:tcW w:type="dxa" w:w="1393"/>
            <w:vAlign w:val="top"/>
          </w:tcPr>
          <w:p>
            <w:r/>
            <w:r>
              <w:rPr>
                <w:b w:val="0"/>
                <w:sz w:val="13"/>
              </w:rPr>
              <w:t>2014, long predates Zoran.</w:t>
            </w:r>
          </w:p>
        </w:tc>
      </w:tr>
      <w:tr>
        <w:tc>
          <w:tcPr>
            <w:tcW w:type="dxa" w:w="1393"/>
            <w:vAlign w:val="top"/>
          </w:tcPr>
          <w:p>
            <w:r/>
            <w:r>
              <w:rPr>
                <w:b w:val="0"/>
                <w:sz w:val="13"/>
              </w:rPr>
              <w:t>Todd 2025</w:t>
            </w:r>
          </w:p>
        </w:tc>
        <w:tc>
          <w:tcPr>
            <w:tcW w:type="dxa" w:w="1393"/>
            <w:vAlign w:val="top"/>
          </w:tcPr>
          <w:p>
            <w:r/>
            <w:r>
              <w:rPr>
                <w:b w:val="0"/>
                <w:sz w:val="13"/>
              </w:rPr>
              <w:t>S_T(P)=[H(out)−K(out)]/H(out)&gt;0</w:t>
            </w:r>
          </w:p>
        </w:tc>
        <w:tc>
          <w:tcPr>
            <w:tcW w:type="dxa" w:w="1393"/>
            <w:vAlign w:val="top"/>
          </w:tcPr>
          <w:p>
            <w:r/>
            <w:r>
              <w:rPr>
                <w:b w:val="0"/>
                <w:sz w:val="13"/>
              </w:rPr>
              <w:t>C-P + C-N</w:t>
            </w:r>
          </w:p>
        </w:tc>
        <w:tc>
          <w:tcPr>
            <w:tcW w:type="dxa" w:w="1393"/>
            <w:vAlign w:val="top"/>
          </w:tcPr>
          <w:p>
            <w:r/>
            <w:r>
              <w:rPr>
                <w:b w:val="0"/>
                <w:sz w:val="13"/>
              </w:rPr>
              <w:t>E3/E4</w:t>
            </w:r>
          </w:p>
        </w:tc>
        <w:tc>
          <w:tcPr>
            <w:tcW w:type="dxa" w:w="1393"/>
            <w:vAlign w:val="top"/>
          </w:tcPr>
          <w:p>
            <w:r/>
            <w:r>
              <w:rPr>
                <w:b w:val="0"/>
                <w:sz w:val="13"/>
              </w:rPr>
              <w:t>Todd gives a bounded information/compressibility coherence quantity under sub-Landauer assumptions; it can be used as a proxy.</w:t>
            </w:r>
          </w:p>
        </w:tc>
        <w:tc>
          <w:tcPr>
            <w:tcW w:type="dxa" w:w="1393"/>
            <w:vAlign w:val="top"/>
          </w:tcPr>
          <w:p>
            <w:r/>
            <w:r>
              <w:rPr>
                <w:b w:val="0"/>
                <w:sz w:val="13"/>
              </w:rPr>
              <w:t>It is not algebraically identical to Zoran: it depends on H,K and a sub-Landauer regime, while Zoran requires separate frame-defined operands.</w:t>
            </w:r>
          </w:p>
        </w:tc>
        <w:tc>
          <w:tcPr>
            <w:tcW w:type="dxa" w:w="1393"/>
            <w:vAlign w:val="top"/>
          </w:tcPr>
          <w:p>
            <w:r/>
            <w:r>
              <w:rPr>
                <w:b w:val="0"/>
                <w:sz w:val="13"/>
              </w:rPr>
              <w:t>20 May 2025: predates Zoran.</w:t>
            </w:r>
          </w:p>
        </w:tc>
      </w:tr>
      <w:tr>
        <w:tc>
          <w:tcPr>
            <w:tcW w:type="dxa" w:w="1393"/>
            <w:vAlign w:val="top"/>
          </w:tcPr>
          <w:p>
            <w:r/>
            <w:r>
              <w:rPr>
                <w:b w:val="0"/>
                <w:sz w:val="13"/>
              </w:rPr>
              <w:t>UCP 2025</w:t>
            </w:r>
          </w:p>
        </w:tc>
        <w:tc>
          <w:tcPr>
            <w:tcW w:type="dxa" w:w="1393"/>
            <w:vAlign w:val="top"/>
          </w:tcPr>
          <w:p>
            <w:r/>
            <w:r>
              <w:rPr>
                <w:b w:val="0"/>
                <w:sz w:val="13"/>
              </w:rPr>
              <w:t>dC/dt = α(R,W,A)RWA − βC + η</w:t>
            </w:r>
          </w:p>
        </w:tc>
        <w:tc>
          <w:tcPr>
            <w:tcW w:type="dxa" w:w="1393"/>
            <w:vAlign w:val="top"/>
          </w:tcPr>
          <w:p>
            <w:r/>
            <w:r>
              <w:rPr>
                <w:b w:val="0"/>
                <w:sz w:val="13"/>
              </w:rPr>
              <w:t>C-X + C-N</w:t>
            </w:r>
          </w:p>
        </w:tc>
        <w:tc>
          <w:tcPr>
            <w:tcW w:type="dxa" w:w="1393"/>
            <w:vAlign w:val="top"/>
          </w:tcPr>
          <w:p>
            <w:r/>
            <w:r>
              <w:rPr>
                <w:b w:val="0"/>
                <w:sz w:val="13"/>
              </w:rPr>
              <w:t>E4/E5</w:t>
            </w:r>
          </w:p>
        </w:tc>
        <w:tc>
          <w:tcPr>
            <w:tcW w:type="dxa" w:w="1393"/>
            <w:vAlign w:val="top"/>
          </w:tcPr>
          <w:p>
            <w:r/>
            <w:r>
              <w:rPr>
                <w:b w:val="0"/>
                <w:sz w:val="13"/>
              </w:rPr>
              <w:t>At η=0 and equilibrium, C_eq=αRWA/β gives a generation/loss ratio skeleton.</w:t>
            </w:r>
          </w:p>
        </w:tc>
        <w:tc>
          <w:tcPr>
            <w:tcW w:type="dxa" w:w="1393"/>
            <w:vAlign w:val="top"/>
          </w:tcPr>
          <w:p>
            <w:r/>
            <w:r>
              <w:rPr>
                <w:b w:val="0"/>
                <w:sz w:val="13"/>
              </w:rPr>
              <w:t>The full ODE is not a rearrangement of S; transient state C, derivative, stochastic noise and dynamic coefficients carry extra information.</w:t>
            </w:r>
          </w:p>
        </w:tc>
        <w:tc>
          <w:tcPr>
            <w:tcW w:type="dxa" w:w="1393"/>
            <w:vAlign w:val="top"/>
          </w:tcPr>
          <w:p>
            <w:r/>
            <w:r>
              <w:rPr>
                <w:b w:val="0"/>
                <w:sz w:val="13"/>
              </w:rPr>
              <w:t>5 Jun 2025: predates Zoran on cross-domain coherence dynamics.</w:t>
            </w:r>
          </w:p>
        </w:tc>
      </w:tr>
      <w:tr>
        <w:tc>
          <w:tcPr>
            <w:tcW w:type="dxa" w:w="1393"/>
            <w:vAlign w:val="top"/>
          </w:tcPr>
          <w:p>
            <w:r/>
            <w:r>
              <w:rPr>
                <w:b w:val="0"/>
                <w:sz w:val="13"/>
              </w:rPr>
              <w:t>Martirosyan et al.</w:t>
            </w:r>
          </w:p>
        </w:tc>
        <w:tc>
          <w:tcPr>
            <w:tcW w:type="dxa" w:w="1393"/>
            <w:vAlign w:val="top"/>
          </w:tcPr>
          <w:p>
            <w:r/>
            <w:r>
              <w:rPr>
                <w:b w:val="0"/>
                <w:sz w:val="13"/>
              </w:rPr>
              <w:t>D = dℓ²/dt → 3.4 ħ/m</w:t>
            </w:r>
          </w:p>
        </w:tc>
        <w:tc>
          <w:tcPr>
            <w:tcW w:type="dxa" w:w="1393"/>
            <w:vAlign w:val="top"/>
          </w:tcPr>
          <w:p>
            <w:r/>
            <w:r>
              <w:rPr>
                <w:b w:val="0"/>
                <w:sz w:val="13"/>
              </w:rPr>
              <w:t>C-P + C-N</w:t>
            </w:r>
          </w:p>
        </w:tc>
        <w:tc>
          <w:tcPr>
            <w:tcW w:type="dxa" w:w="1393"/>
            <w:vAlign w:val="top"/>
          </w:tcPr>
          <w:p>
            <w:r/>
            <w:r>
              <w:rPr>
                <w:b w:val="0"/>
                <w:sz w:val="13"/>
              </w:rPr>
              <w:t>E3/E6</w:t>
            </w:r>
          </w:p>
        </w:tc>
        <w:tc>
          <w:tcPr>
            <w:tcW w:type="dxa" w:w="1393"/>
            <w:vAlign w:val="top"/>
          </w:tcPr>
          <w:p>
            <w:r/>
            <w:r>
              <w:rPr>
                <w:b w:val="0"/>
                <w:sz w:val="13"/>
              </w:rPr>
              <w:t>A physical coherence-spreading speed can serve as a frame-specific kinetic observable.</w:t>
            </w:r>
          </w:p>
        </w:tc>
        <w:tc>
          <w:tcPr>
            <w:tcW w:type="dxa" w:w="1393"/>
            <w:vAlign w:val="top"/>
          </w:tcPr>
          <w:p>
            <w:r/>
            <w:r>
              <w:rPr>
                <w:b w:val="0"/>
                <w:sz w:val="13"/>
              </w:rPr>
              <w:t>A dimensional speed of coherence spreading is not a dimensionless/global admissibility gauge.</w:t>
            </w:r>
          </w:p>
        </w:tc>
        <w:tc>
          <w:tcPr>
            <w:tcW w:type="dxa" w:w="1393"/>
            <w:vAlign w:val="top"/>
          </w:tcPr>
          <w:p>
            <w:r/>
            <w:r>
              <w:rPr>
                <w:b w:val="0"/>
                <w:sz w:val="13"/>
              </w:rPr>
              <w:t>arXiv first submitted 10 Oct 2024; Nature 2025.</w:t>
            </w:r>
          </w:p>
        </w:tc>
      </w:tr>
      <w:tr>
        <w:tc>
          <w:tcPr>
            <w:tcW w:type="dxa" w:w="1393"/>
            <w:vAlign w:val="top"/>
          </w:tcPr>
          <w:p>
            <w:r/>
            <w:r>
              <w:rPr>
                <w:b w:val="0"/>
                <w:sz w:val="13"/>
              </w:rPr>
              <w:t>Hensgen Δ.72</w:t>
            </w:r>
          </w:p>
        </w:tc>
        <w:tc>
          <w:tcPr>
            <w:tcW w:type="dxa" w:w="1393"/>
            <w:vAlign w:val="top"/>
          </w:tcPr>
          <w:p>
            <w:r/>
            <w:r>
              <w:rPr>
                <w:b w:val="0"/>
                <w:sz w:val="13"/>
              </w:rPr>
              <w:t>Δ₇₂(t)=ℋ(R(t),I(t),A(t)); κ(t)≥κ_star</w:t>
            </w:r>
          </w:p>
        </w:tc>
        <w:tc>
          <w:tcPr>
            <w:tcW w:type="dxa" w:w="1393"/>
            <w:vAlign w:val="top"/>
          </w:tcPr>
          <w:p>
            <w:r/>
            <w:r>
              <w:rPr>
                <w:b w:val="0"/>
                <w:sz w:val="13"/>
              </w:rPr>
              <w:t>C-X</w:t>
            </w:r>
          </w:p>
        </w:tc>
        <w:tc>
          <w:tcPr>
            <w:tcW w:type="dxa" w:w="1393"/>
            <w:vAlign w:val="top"/>
          </w:tcPr>
          <w:p>
            <w:r/>
            <w:r>
              <w:rPr>
                <w:b w:val="0"/>
                <w:sz w:val="13"/>
              </w:rPr>
              <w:t>E4/E5</w:t>
            </w:r>
          </w:p>
        </w:tc>
        <w:tc>
          <w:tcPr>
            <w:tcW w:type="dxa" w:w="1393"/>
            <w:vAlign w:val="top"/>
          </w:tcPr>
          <w:p>
            <w:r/>
            <w:r>
              <w:rPr>
                <w:b w:val="0"/>
                <w:sz w:val="13"/>
              </w:rPr>
              <w:t>Adds a generative field function and explicit harmonic-threshold architecture.</w:t>
            </w:r>
          </w:p>
        </w:tc>
        <w:tc>
          <w:tcPr>
            <w:tcW w:type="dxa" w:w="1393"/>
            <w:vAlign w:val="top"/>
          </w:tcPr>
          <w:p>
            <w:r/>
            <w:r>
              <w:rPr>
                <w:b w:val="0"/>
                <w:sz w:val="13"/>
              </w:rPr>
              <w:t>Without an explicit invertible ℋ mapping, no algebraic equivalence to S follows.</w:t>
            </w:r>
          </w:p>
        </w:tc>
        <w:tc>
          <w:tcPr>
            <w:tcW w:type="dxa" w:w="1393"/>
            <w:vAlign w:val="top"/>
          </w:tcPr>
          <w:p>
            <w:r/>
            <w:r>
              <w:rPr>
                <w:b w:val="0"/>
                <w:sz w:val="13"/>
              </w:rPr>
              <w:t>15 Nov 2025 v1; later v1.6 16 Nov 2025.</w:t>
            </w:r>
          </w:p>
        </w:tc>
      </w:tr>
      <w:tr>
        <w:tc>
          <w:tcPr>
            <w:tcW w:type="dxa" w:w="1393"/>
            <w:vAlign w:val="top"/>
          </w:tcPr>
          <w:p>
            <w:r/>
            <w:r>
              <w:rPr>
                <w:b w:val="0"/>
                <w:sz w:val="13"/>
              </w:rPr>
              <w:t>Bostick UCL</w:t>
            </w:r>
          </w:p>
        </w:tc>
        <w:tc>
          <w:tcPr>
            <w:tcW w:type="dxa" w:w="1393"/>
            <w:vAlign w:val="top"/>
          </w:tcPr>
          <w:p>
            <w:r/>
            <w:r>
              <w:rPr>
                <w:b w:val="0"/>
                <w:sz w:val="13"/>
              </w:rPr>
              <w:t>PAS_h(S)=Σ_{k∈H}w_k r_k; r_k=|N⁻¹Σe^{ikθ_n}|; ΔPAS=PAS_{t+1}−PAS_t</w:t>
            </w:r>
          </w:p>
        </w:tc>
        <w:tc>
          <w:tcPr>
            <w:tcW w:type="dxa" w:w="1393"/>
            <w:vAlign w:val="top"/>
          </w:tcPr>
          <w:p>
            <w:r/>
            <w:r>
              <w:rPr>
                <w:b w:val="0"/>
                <w:sz w:val="13"/>
              </w:rPr>
              <w:t>C-P + C-X</w:t>
            </w:r>
          </w:p>
        </w:tc>
        <w:tc>
          <w:tcPr>
            <w:tcW w:type="dxa" w:w="1393"/>
            <w:vAlign w:val="top"/>
          </w:tcPr>
          <w:p>
            <w:r/>
            <w:r>
              <w:rPr>
                <w:b w:val="0"/>
                <w:sz w:val="13"/>
              </w:rPr>
              <w:t>E3/E4</w:t>
            </w:r>
          </w:p>
        </w:tc>
        <w:tc>
          <w:tcPr>
            <w:tcW w:type="dxa" w:w="1393"/>
            <w:vAlign w:val="top"/>
          </w:tcPr>
          <w:p>
            <w:r/>
            <w:r>
              <w:rPr>
                <w:b w:val="0"/>
                <w:sz w:val="13"/>
              </w:rPr>
              <w:t>PAS_h is a phase/harmonic coherence observable and ΔPAS adds an explicit drift law.</w:t>
            </w:r>
          </w:p>
        </w:tc>
        <w:tc>
          <w:tcPr>
            <w:tcW w:type="dxa" w:w="1393"/>
            <w:vAlign w:val="top"/>
          </w:tcPr>
          <w:p>
            <w:r/>
            <w:r>
              <w:rPr>
                <w:b w:val="0"/>
                <w:sz w:val="13"/>
              </w:rPr>
              <w:t>PAS_h alone does not determine β,T,σ; prime-indexed SO(2) assumptions are extra structure.</w:t>
            </w:r>
          </w:p>
        </w:tc>
        <w:tc>
          <w:tcPr>
            <w:tcW w:type="dxa" w:w="1393"/>
            <w:vAlign w:val="top"/>
          </w:tcPr>
          <w:p>
            <w:r/>
            <w:r>
              <w:rPr>
                <w:b w:val="0"/>
                <w:sz w:val="13"/>
              </w:rPr>
              <w:t>Late 2025; post-Zoran Nov on this specific later UCL version.</w:t>
            </w:r>
          </w:p>
        </w:tc>
      </w:tr>
      <w:tr>
        <w:tc>
          <w:tcPr>
            <w:tcW w:type="dxa" w:w="1393"/>
            <w:vAlign w:val="top"/>
          </w:tcPr>
          <w:p>
            <w:r/>
            <w:r>
              <w:rPr>
                <w:b w:val="0"/>
                <w:sz w:val="13"/>
              </w:rPr>
              <w:t>Allen 2026</w:t>
            </w:r>
          </w:p>
        </w:tc>
        <w:tc>
          <w:tcPr>
            <w:tcW w:type="dxa" w:w="1393"/>
            <w:vAlign w:val="top"/>
          </w:tcPr>
          <w:p>
            <w:r/>
            <w:r>
              <w:rPr>
                <w:b w:val="0"/>
                <w:sz w:val="13"/>
              </w:rPr>
              <w:t>Apply update iff resulting structure is coherent</w:t>
            </w:r>
          </w:p>
        </w:tc>
        <w:tc>
          <w:tcPr>
            <w:tcW w:type="dxa" w:w="1393"/>
            <w:vAlign w:val="top"/>
          </w:tcPr>
          <w:p>
            <w:r/>
            <w:r>
              <w:rPr>
                <w:b w:val="0"/>
                <w:sz w:val="13"/>
              </w:rPr>
              <w:t>C-P + C-X</w:t>
            </w:r>
          </w:p>
        </w:tc>
        <w:tc>
          <w:tcPr>
            <w:tcW w:type="dxa" w:w="1393"/>
            <w:vAlign w:val="top"/>
          </w:tcPr>
          <w:p>
            <w:r/>
            <w:r>
              <w:rPr>
                <w:b w:val="0"/>
                <w:sz w:val="13"/>
              </w:rPr>
              <w:t>E4/E5</w:t>
            </w:r>
          </w:p>
        </w:tc>
        <w:tc>
          <w:tcPr>
            <w:tcW w:type="dxa" w:w="1393"/>
            <w:vAlign w:val="top"/>
          </w:tcPr>
          <w:p>
            <w:r/>
            <w:r>
              <w:rPr>
                <w:b w:val="0"/>
                <w:sz w:val="13"/>
              </w:rPr>
              <w:t>A Zoran threshold/gate can implement a coherent-update decision.</w:t>
            </w:r>
          </w:p>
        </w:tc>
        <w:tc>
          <w:tcPr>
            <w:tcW w:type="dxa" w:w="1393"/>
            <w:vAlign w:val="top"/>
          </w:tcPr>
          <w:p>
            <w:r/>
            <w:r>
              <w:rPr>
                <w:b w:val="0"/>
                <w:sz w:val="13"/>
              </w:rPr>
              <w:t>Allen’s predicate/certificate formalism is not an algebraic rearrangement of S.</w:t>
            </w:r>
          </w:p>
        </w:tc>
        <w:tc>
          <w:tcPr>
            <w:tcW w:type="dxa" w:w="1393"/>
            <w:vAlign w:val="top"/>
          </w:tcPr>
          <w:p>
            <w:r/>
            <w:r>
              <w:rPr>
                <w:b w:val="0"/>
                <w:sz w:val="13"/>
              </w:rPr>
              <w:t>31 Jan 2026; post-Zoran Nov.</w:t>
            </w:r>
          </w:p>
        </w:tc>
      </w:tr>
      <w:tr>
        <w:tc>
          <w:tcPr>
            <w:tcW w:type="dxa" w:w="1393"/>
            <w:vAlign w:val="top"/>
          </w:tcPr>
          <w:p>
            <w:r/>
            <w:r>
              <w:rPr>
                <w:b w:val="0"/>
                <w:sz w:val="13"/>
              </w:rPr>
              <w:t>Paton UAE</w:t>
            </w:r>
          </w:p>
        </w:tc>
        <w:tc>
          <w:tcPr>
            <w:tcW w:type="dxa" w:w="1393"/>
            <w:vAlign w:val="top"/>
          </w:tcPr>
          <w:p>
            <w:r/>
            <w:r>
              <w:rPr>
                <w:b w:val="0"/>
                <w:sz w:val="13"/>
              </w:rPr>
              <w:t>Continuation(s) ⇔ G(P(s))=1</w:t>
            </w:r>
          </w:p>
        </w:tc>
        <w:tc>
          <w:tcPr>
            <w:tcW w:type="dxa" w:w="1393"/>
            <w:vAlign w:val="top"/>
          </w:tcPr>
          <w:p>
            <w:r/>
            <w:r>
              <w:rPr>
                <w:b w:val="0"/>
                <w:sz w:val="13"/>
              </w:rPr>
              <w:t>C-P + C-X</w:t>
            </w:r>
          </w:p>
        </w:tc>
        <w:tc>
          <w:tcPr>
            <w:tcW w:type="dxa" w:w="1393"/>
            <w:vAlign w:val="top"/>
          </w:tcPr>
          <w:p>
            <w:r/>
            <w:r>
              <w:rPr>
                <w:b w:val="0"/>
                <w:sz w:val="13"/>
              </w:rPr>
              <w:t>E4/E5</w:t>
            </w:r>
          </w:p>
        </w:tc>
        <w:tc>
          <w:tcPr>
            <w:tcW w:type="dxa" w:w="1393"/>
            <w:vAlign w:val="top"/>
          </w:tcPr>
          <w:p>
            <w:r/>
            <w:r>
              <w:rPr>
                <w:b w:val="0"/>
                <w:sz w:val="13"/>
              </w:rPr>
              <w:t>A thresholded Zoran frame-gate can realize one admissibility decision of this form.</w:t>
            </w:r>
          </w:p>
        </w:tc>
        <w:tc>
          <w:tcPr>
            <w:tcW w:type="dxa" w:w="1393"/>
            <w:vAlign w:val="top"/>
          </w:tcPr>
          <w:p>
            <w:r/>
            <w:r>
              <w:rPr>
                <w:b w:val="0"/>
                <w:sz w:val="13"/>
              </w:rPr>
              <w:t>Paton’s P and G are abstract operators; S contains graded operands and need not be binary.</w:t>
            </w:r>
          </w:p>
        </w:tc>
        <w:tc>
          <w:tcPr>
            <w:tcW w:type="dxa" w:w="1393"/>
            <w:vAlign w:val="top"/>
          </w:tcPr>
          <w:p>
            <w:r/>
            <w:r>
              <w:rPr>
                <w:b w:val="0"/>
                <w:sz w:val="13"/>
              </w:rPr>
              <w:t>20 Feb 2026; post-Z1 and Zoran Nov.</w:t>
            </w:r>
          </w:p>
        </w:tc>
      </w:tr>
      <w:tr>
        <w:tc>
          <w:tcPr>
            <w:tcW w:type="dxa" w:w="1393"/>
            <w:vAlign w:val="top"/>
          </w:tcPr>
          <w:p>
            <w:r/>
            <w:r>
              <w:rPr>
                <w:b w:val="0"/>
                <w:sz w:val="13"/>
              </w:rPr>
              <w:t>Paton reachability</w:t>
            </w:r>
          </w:p>
        </w:tc>
        <w:tc>
          <w:tcPr>
            <w:tcW w:type="dxa" w:w="1393"/>
            <w:vAlign w:val="top"/>
          </w:tcPr>
          <w:p>
            <w:r/>
            <w:r>
              <w:rPr>
                <w:b w:val="0"/>
                <w:sz w:val="13"/>
              </w:rPr>
              <w:t>Admissible(x) ∧ Reachable(x₀,x)</w:t>
            </w:r>
          </w:p>
        </w:tc>
        <w:tc>
          <w:tcPr>
            <w:tcW w:type="dxa" w:w="1393"/>
            <w:vAlign w:val="top"/>
          </w:tcPr>
          <w:p>
            <w:r/>
            <w:r>
              <w:rPr>
                <w:b w:val="0"/>
                <w:sz w:val="13"/>
              </w:rPr>
              <w:t>C-N + C-X</w:t>
            </w:r>
          </w:p>
        </w:tc>
        <w:tc>
          <w:tcPr>
            <w:tcW w:type="dxa" w:w="1393"/>
            <w:vAlign w:val="top"/>
          </w:tcPr>
          <w:p>
            <w:r/>
            <w:r>
              <w:rPr>
                <w:b w:val="0"/>
                <w:sz w:val="13"/>
              </w:rPr>
              <w:t>E4</w:t>
            </w:r>
          </w:p>
        </w:tc>
        <w:tc>
          <w:tcPr>
            <w:tcW w:type="dxa" w:w="1393"/>
            <w:vAlign w:val="top"/>
          </w:tcPr>
          <w:p>
            <w:r/>
            <w:r>
              <w:rPr>
                <w:b w:val="0"/>
                <w:sz w:val="13"/>
              </w:rPr>
              <w:t>Reachability is a genuine path/state-space addition relative to an endpoint scalar score.</w:t>
            </w:r>
          </w:p>
        </w:tc>
        <w:tc>
          <w:tcPr>
            <w:tcW w:type="dxa" w:w="1393"/>
            <w:vAlign w:val="top"/>
          </w:tcPr>
          <w:p>
            <w:r/>
            <w:r>
              <w:rPr>
                <w:b w:val="0"/>
                <w:sz w:val="13"/>
              </w:rPr>
              <w:t>Not shown absent from all pre-Paton Zoran trajectory artefacts; historical priority remains a separate search.</w:t>
            </w:r>
          </w:p>
        </w:tc>
        <w:tc>
          <w:tcPr>
            <w:tcW w:type="dxa" w:w="1393"/>
            <w:vAlign w:val="top"/>
          </w:tcPr>
          <w:p>
            <w:r/>
            <w:r>
              <w:rPr>
                <w:b w:val="0"/>
                <w:sz w:val="13"/>
              </w:rPr>
              <w:t>20 Feb 2026; exact Zoran antecedent still open.</w:t>
            </w:r>
          </w:p>
        </w:tc>
      </w:tr>
      <w:tr>
        <w:tc>
          <w:tcPr>
            <w:tcW w:type="dxa" w:w="1393"/>
            <w:vAlign w:val="top"/>
          </w:tcPr>
          <w:p>
            <w:r/>
            <w:r>
              <w:rPr>
                <w:b w:val="0"/>
                <w:sz w:val="13"/>
              </w:rPr>
              <w:t>Al-Mayahi 2026</w:t>
            </w:r>
          </w:p>
        </w:tc>
        <w:tc>
          <w:tcPr>
            <w:tcW w:type="dxa" w:w="1393"/>
            <w:vAlign w:val="top"/>
          </w:tcPr>
          <w:p>
            <w:r/>
            <w:r>
              <w:rPr>
                <w:b w:val="0"/>
                <w:sz w:val="13"/>
              </w:rPr>
              <w:t>C_i=I(S_i;E)/H(S_i); dW/dt=γ(C−Ccrit)W</w:t>
            </w:r>
          </w:p>
        </w:tc>
        <w:tc>
          <w:tcPr>
            <w:tcW w:type="dxa" w:w="1393"/>
            <w:vAlign w:val="top"/>
          </w:tcPr>
          <w:p>
            <w:r/>
            <w:r>
              <w:rPr>
                <w:b w:val="0"/>
                <w:sz w:val="13"/>
              </w:rPr>
              <w:t>C-P + C-X + C-N</w:t>
            </w:r>
          </w:p>
        </w:tc>
        <w:tc>
          <w:tcPr>
            <w:tcW w:type="dxa" w:w="1393"/>
            <w:vAlign w:val="top"/>
          </w:tcPr>
          <w:p>
            <w:r/>
            <w:r>
              <w:rPr>
                <w:b w:val="0"/>
                <w:sz w:val="13"/>
              </w:rPr>
              <w:t>E3/E4</w:t>
            </w:r>
          </w:p>
        </w:tc>
        <w:tc>
          <w:tcPr>
            <w:tcW w:type="dxa" w:w="1393"/>
            <w:vAlign w:val="top"/>
          </w:tcPr>
          <w:p>
            <w:r/>
            <w:r>
              <w:rPr>
                <w:b w:val="0"/>
                <w:sz w:val="13"/>
              </w:rPr>
              <w:t>Mutual-information ratio can be a coherence observable; persistence ODE adds explicit growth/decay dynamics.</w:t>
            </w:r>
          </w:p>
        </w:tc>
        <w:tc>
          <w:tcPr>
            <w:tcW w:type="dxa" w:w="1393"/>
            <w:vAlign w:val="top"/>
          </w:tcPr>
          <w:p>
            <w:r/>
            <w:r>
              <w:rPr>
                <w:b w:val="0"/>
                <w:sz w:val="13"/>
              </w:rPr>
              <w:t>The ODE is not a rearrangement of S and cannot be imported as if historically Zoran.</w:t>
            </w:r>
          </w:p>
        </w:tc>
        <w:tc>
          <w:tcPr>
            <w:tcW w:type="dxa" w:w="1393"/>
            <w:vAlign w:val="top"/>
          </w:tcPr>
          <w:p>
            <w:r/>
            <w:r>
              <w:rPr>
                <w:b w:val="0"/>
                <w:sz w:val="13"/>
              </w:rPr>
              <w:t>Mar 2026; post-Zoran.</w:t>
            </w:r>
          </w:p>
        </w:tc>
      </w:tr>
      <w:tr>
        <w:tc>
          <w:tcPr>
            <w:tcW w:type="dxa" w:w="1393"/>
            <w:vAlign w:val="top"/>
          </w:tcPr>
          <w:p>
            <w:r/>
            <w:r>
              <w:rPr>
                <w:b w:val="0"/>
                <w:sz w:val="13"/>
              </w:rPr>
              <w:t>Synergic Modeling 2026</w:t>
            </w:r>
          </w:p>
        </w:tc>
        <w:tc>
          <w:tcPr>
            <w:tcW w:type="dxa" w:w="1393"/>
            <w:vAlign w:val="top"/>
          </w:tcPr>
          <w:p>
            <w:r/>
            <w:r>
              <w:rPr>
                <w:b w:val="0"/>
                <w:sz w:val="13"/>
              </w:rPr>
              <w:t>Trajectory sets filtered/intersected by coherence constraints</w:t>
            </w:r>
          </w:p>
        </w:tc>
        <w:tc>
          <w:tcPr>
            <w:tcW w:type="dxa" w:w="1393"/>
            <w:vAlign w:val="top"/>
          </w:tcPr>
          <w:p>
            <w:r/>
            <w:r>
              <w:rPr>
                <w:b w:val="0"/>
                <w:sz w:val="13"/>
              </w:rPr>
              <w:t>C-X</w:t>
            </w:r>
          </w:p>
        </w:tc>
        <w:tc>
          <w:tcPr>
            <w:tcW w:type="dxa" w:w="1393"/>
            <w:vAlign w:val="top"/>
          </w:tcPr>
          <w:p>
            <w:r/>
            <w:r>
              <w:rPr>
                <w:b w:val="0"/>
                <w:sz w:val="13"/>
              </w:rPr>
              <w:t>E4/E5</w:t>
            </w:r>
          </w:p>
        </w:tc>
        <w:tc>
          <w:tcPr>
            <w:tcW w:type="dxa" w:w="1393"/>
            <w:vAlign w:val="top"/>
          </w:tcPr>
          <w:p>
            <w:r/>
            <w:r>
              <w:rPr>
                <w:b w:val="0"/>
                <w:sz w:val="13"/>
              </w:rPr>
              <w:t>Formal set/trajectory composition provides a rigorous multi-constraint comparison target.</w:t>
            </w:r>
          </w:p>
        </w:tc>
        <w:tc>
          <w:tcPr>
            <w:tcW w:type="dxa" w:w="1393"/>
            <w:vAlign w:val="top"/>
          </w:tcPr>
          <w:p>
            <w:r/>
            <w:r>
              <w:rPr>
                <w:b w:val="0"/>
                <w:sz w:val="13"/>
              </w:rPr>
              <w:t>Set-valued trajectory semantics are not identical to a scalar gauge.</w:t>
            </w:r>
          </w:p>
        </w:tc>
        <w:tc>
          <w:tcPr>
            <w:tcW w:type="dxa" w:w="1393"/>
            <w:vAlign w:val="top"/>
          </w:tcPr>
          <w:p>
            <w:r/>
            <w:r>
              <w:rPr>
                <w:b w:val="0"/>
                <w:sz w:val="13"/>
              </w:rPr>
              <w:t>Jul 2026; post-Zoran.</w:t>
            </w:r>
          </w:p>
        </w:tc>
      </w:tr>
    </w:tbl>
    <w:p>
      <w:pPr>
        <w:pStyle w:val="Heading2"/>
        <w:keepNext/>
        <w:keepLines/>
      </w:pPr>
      <w:r>
        <w:t>16.4 Countermodel PATON-R-001 — why reachability is not a function of endpoint S alone</w:t>
      </w:r>
    </w:p>
    <w:p>
      <w:r>
        <w:t>Consider the same initial label x₀ and candidate endpoint x in two transition systems A and B. Assign the same local frame values to x in both systems, hence the same Zoran endpoint score S(x).</w:t>
      </w:r>
    </w:p>
    <w:p>
      <w:pPr>
        <w:jc w:val="center"/>
      </w:pPr>
      <w:r>
        <w:rPr>
          <w:rFonts w:ascii="Cambria Math" w:hAnsi="Cambria Math"/>
          <w:b/>
          <w:sz w:val="22"/>
        </w:rPr>
        <w:t>System A: x₀ → x  ⇒ Reachable_A(x₀,x)=1</w:t>
      </w:r>
    </w:p>
    <w:p>
      <w:pPr>
        <w:jc w:val="center"/>
      </w:pPr>
      <w:r>
        <w:rPr>
          <w:rFonts w:ascii="Cambria Math" w:hAnsi="Cambria Math"/>
          <w:b/>
          <w:sz w:val="22"/>
        </w:rPr>
        <w:t>System B: x₀   x  (no permissible path) ⇒ Reachable_B(x₀,x)=0</w:t>
      </w:r>
    </w:p>
    <w:p>
      <w:r>
        <w:t>Because S_A(x)=S_B(x) while Reachable_A≠Reachable_B, no function f of endpoint S(x) alone can reproduce reachability in all transition systems. This is a C-N countermodel. Therefore Paton reachability is not a simple algebraic form of S. It may still be represented by a broader Zoran trajectory formalism; that is a historical/formal search question reserved for Pass 4.</w:t>
      </w:r>
    </w:p>
    <w:p>
      <w:pPr>
        <w:pStyle w:val="Heading2"/>
        <w:keepNext/>
        <w:keepLines/>
      </w:pPr>
      <w:r>
        <w:t>16.5 Certificate UCP-EQ-001 — equilibrium-ratio similarity without dynamical equivalence</w:t>
      </w:r>
    </w:p>
    <w:p>
      <w:pPr>
        <w:jc w:val="center"/>
      </w:pPr>
      <w:r>
        <w:rPr>
          <w:rFonts w:ascii="Cambria Math" w:hAnsi="Cambria Math"/>
          <w:b/>
          <w:sz w:val="22"/>
        </w:rPr>
        <w:t>dC/dt = α(R,W,A)·R·W·A − β·C + η</w:t>
      </w:r>
    </w:p>
    <w:p>
      <w:r>
        <w:t>Under the restricted assumptions dC/dt=0 and η=0:</w:t>
      </w:r>
    </w:p>
    <w:p>
      <w:pPr>
        <w:jc w:val="center"/>
      </w:pPr>
      <w:r>
        <w:rPr>
          <w:rFonts w:ascii="Cambria Math" w:hAnsi="Cambria Math"/>
          <w:b/>
          <w:sz w:val="22"/>
        </w:rPr>
        <w:t>C_eq = α(R,W,A)·R·W·A / β</w:t>
      </w:r>
    </w:p>
    <w:p>
      <w:r>
        <w:t>This yields a numerator/denominator maintenance ratio. The relation is structurally informative, but the reduction discards transient dynamics, the state variable C(t), stochastic forcing η(t), and time-varying coefficients. Therefore the equilibrium expression is not a certificate that UCP and Zoran are the same law. It is a C-X structural bridge.</w:t>
      </w:r>
    </w:p>
    <w:p>
      <w:pPr>
        <w:spacing w:after="80"/>
      </w:pPr>
      <w:r>
        <w:rPr>
          <w:b/>
        </w:rPr>
        <w:t xml:space="preserve">Source: </w:t>
      </w:r>
      <w:r>
        <w:rPr>
          <w:sz w:val="17"/>
        </w:rPr>
        <w:t>Coherent Intelligence, “Universal Coherence Principle: Mathematical Formalization and Cross-Domain Applications”, dated 5 June 2025, coherent-intelligence.uk/papers/ucp-math.html.</w:t>
      </w:r>
    </w:p>
    <w:p>
      <w:pPr>
        <w:pStyle w:val="Heading2"/>
        <w:keepNext/>
        <w:keepLines/>
      </w:pPr>
      <w:r>
        <w:t>16.6 Countermodel ALM-DYN-001 — persistence dynamics contain information beyond a coherence score</w:t>
      </w:r>
    </w:p>
    <w:p>
      <w:pPr>
        <w:jc w:val="center"/>
      </w:pPr>
      <w:r>
        <w:rPr>
          <w:rFonts w:ascii="Cambria Math" w:hAnsi="Cambria Math"/>
          <w:b/>
          <w:sz w:val="22"/>
        </w:rPr>
        <w:t>dW/dt = γ·(C − C_crit)·W</w:t>
      </w:r>
    </w:p>
    <w:p>
      <w:r>
        <w:t>Fix the same coherence value C and threshold C_crit in two systems, but choose different persistence state W or gain γ. The derivative dW/dt changes although C is unchanged. Hence the persistence derivative is not determined by a coherence scalar alone. This is a C-N/C-X certificate: the ODE is a dynamical extension. The mutual-information definition C=I(S;E)/H(S) can still be compared as a proxy/operand candidate independently of the ODE.</w:t>
      </w:r>
    </w:p>
    <w:p>
      <w:pPr>
        <w:spacing w:after="80"/>
      </w:pPr>
      <w:r>
        <w:rPr>
          <w:b/>
        </w:rPr>
        <w:t xml:space="preserve">Source: </w:t>
      </w:r>
      <w:r>
        <w:rPr>
          <w:sz w:val="17"/>
        </w:rPr>
        <w:t>Al-Mayahi, “The Coherence Constraint”, DOI 10.5281/zenodo.19056454; “Coherence as Mutual Information…”, DOI 10.5281/zenodo.19185301.</w:t>
      </w:r>
    </w:p>
    <w:p>
      <w:pPr>
        <w:pStyle w:val="Heading2"/>
        <w:keepNext/>
        <w:keepLines/>
      </w:pPr>
      <w:r>
        <w:t>16.7 Certificate BOS-PROXY-001 — harmonic coherence is a specialized observable, not a scalar identity</w:t>
      </w:r>
    </w:p>
    <w:p>
      <w:pPr>
        <w:jc w:val="center"/>
      </w:pPr>
      <w:r>
        <w:rPr>
          <w:rFonts w:ascii="Cambria Math" w:hAnsi="Cambria Math"/>
          <w:b/>
          <w:sz w:val="22"/>
        </w:rPr>
        <w:t>PAS_h(S) = Σ_{k∈H} w_k r_k,   r_k = |(1/N)Σ_n exp(i k θ_n)|</w:t>
      </w:r>
    </w:p>
    <w:p>
      <w:pPr>
        <w:jc w:val="center"/>
      </w:pPr>
      <w:r>
        <w:rPr>
          <w:rFonts w:ascii="Cambria Math" w:hAnsi="Cambria Math"/>
          <w:b/>
          <w:sz w:val="22"/>
        </w:rPr>
        <w:t>ΔPAS_ζ(t) = PAS_h(S_{t+1}) − PAS_h(S_t)</w:t>
      </w:r>
    </w:p>
    <w:p>
      <w:r>
        <w:t>PAS_h is fully defined from a phase ensemble and prime-indexed harmonics. It can therefore serve as a phase-structure observable in a coherence frame. However, even if PAS_h is assigned to ΔΦ, Zoran still requires independently declared β, T and σ. Thus PAS_h → ΔΦ is a C-P mapping, not E0/E1 identity. ΔPAS_ζ is an additional time/drift operator and is C-X.</w:t>
      </w:r>
    </w:p>
    <w:p>
      <w:pPr>
        <w:spacing w:after="80"/>
      </w:pPr>
      <w:r>
        <w:rPr>
          <w:b/>
        </w:rPr>
        <w:t xml:space="preserve">Source: </w:t>
      </w:r>
      <w:r>
        <w:rPr>
          <w:sz w:val="17"/>
        </w:rPr>
        <w:t>Devin Bostick, “The Universal Coherence Law…”, late-2025 version archived on PhilPapers/PhilArchive; primary definitions PAS_h and ΔPAS_ζ in the paper.</w:t>
      </w:r>
    </w:p>
    <w:p>
      <w:pPr>
        <w:pStyle w:val="Heading2"/>
        <w:keepNext/>
        <w:keepLines/>
      </w:pPr>
      <w:r>
        <w:t>16.8 Hensgen version certificate and DOI correction</w:t>
      </w:r>
    </w:p>
    <w:p>
      <w:r>
        <w:t>The Δ.72 Field Equation has a verifiable version chain that must be cited precisely: Zenodo 10.5281/zenodo.17618496 is v1, published 15 November 2025; Zenodo 10.5281/zenodo.17624004 is v1.6, published 16 November 2025. Pass 3 therefore treats 17618496 as the earliest verified record of this titled field equation, while later citations may legitimately point to 17624004 as an updated version.</w:t>
      </w:r>
    </w:p>
    <w:p>
      <w:pPr>
        <w:jc w:val="center"/>
      </w:pPr>
      <w:r>
        <w:rPr>
          <w:rFonts w:ascii="Cambria Math" w:hAnsi="Cambria Math"/>
          <w:b/>
          <w:sz w:val="22"/>
        </w:rPr>
        <w:t>Δ₇₂(t) = ℋ(R(t), I(t), A(t))</w:t>
      </w:r>
    </w:p>
    <w:p>
      <w:pPr>
        <w:jc w:val="center"/>
      </w:pPr>
      <w:r>
        <w:rPr>
          <w:rFonts w:ascii="Cambria Math" w:hAnsi="Cambria Math"/>
          <w:b/>
          <w:sz w:val="22"/>
        </w:rPr>
        <w:t>harmonic closure when κ(t) ≥ κ_star</w:t>
      </w:r>
    </w:p>
    <w:p>
      <w:r>
        <w:t>Because ℋ is a generative functional and not supplied here as an invertible algebraic mapping onto β,ΔΦ,T,σ, the appropriate class is E4/E5 unless a more specific primary equation proves otherwise.</w:t>
      </w:r>
    </w:p>
    <w:p>
      <w:pPr>
        <w:spacing w:after="80"/>
      </w:pPr>
      <w:r>
        <w:rPr>
          <w:b/>
        </w:rPr>
        <w:t xml:space="preserve">Source: </w:t>
      </w:r>
      <w:r>
        <w:rPr>
          <w:sz w:val="17"/>
        </w:rPr>
        <w:t>Zenodo 10.5281/zenodo.17618496 (v1, 15 Nov 2025) and 10.5281/zenodo.17624004 (v1.6, 16 Nov 2025).</w:t>
      </w:r>
    </w:p>
    <w:p>
      <w:pPr>
        <w:pStyle w:val="Heading1"/>
        <w:keepNext/>
        <w:keepLines/>
      </w:pPr>
      <w:r>
        <w:t>17. Formula-level priority ledger after Pass 3</w:t>
      </w:r>
    </w:p>
    <w:tbl>
      <w:tblPr>
        <w:tblStyle w:val="TableGrid"/>
        <w:tblW w:type="auto" w:w="0"/>
        <w:jc w:val="center"/>
        <w:tblLook w:firstColumn="1" w:firstRow="1" w:lastColumn="0" w:lastRow="0" w:noHBand="0" w:noVBand="1" w:val="04A0"/>
      </w:tblPr>
      <w:tblGrid>
        <w:gridCol w:w="1950"/>
        <w:gridCol w:w="1950"/>
        <w:gridCol w:w="1950"/>
        <w:gridCol w:w="1950"/>
        <w:gridCol w:w="1950"/>
      </w:tblGrid>
      <w:tr>
        <w:tc>
          <w:tcPr>
            <w:tcW w:type="dxa" w:w="1950"/>
            <w:vAlign w:val="top"/>
            <w:shd w:fill="D9EAF7"/>
          </w:tcPr>
          <w:p>
            <w:r/>
            <w:r>
              <w:rPr>
                <w:b/>
                <w:sz w:val="16"/>
              </w:rPr>
              <w:t>Claim surface</w:t>
            </w:r>
          </w:p>
        </w:tc>
        <w:tc>
          <w:tcPr>
            <w:tcW w:type="dxa" w:w="1950"/>
            <w:vAlign w:val="top"/>
            <w:shd w:fill="D9EAF7"/>
          </w:tcPr>
          <w:p>
            <w:r/>
            <w:r>
              <w:rPr>
                <w:b/>
                <w:sz w:val="16"/>
              </w:rPr>
              <w:t>Earliest verified lineage in current audit</w:t>
            </w:r>
          </w:p>
        </w:tc>
        <w:tc>
          <w:tcPr>
            <w:tcW w:type="dxa" w:w="1950"/>
            <w:vAlign w:val="top"/>
            <w:shd w:fill="D9EAF7"/>
          </w:tcPr>
          <w:p>
            <w:r/>
            <w:r>
              <w:rPr>
                <w:b/>
                <w:sz w:val="16"/>
              </w:rPr>
              <w:t>What Zoran may still claim</w:t>
            </w:r>
          </w:p>
        </w:tc>
        <w:tc>
          <w:tcPr>
            <w:tcW w:type="dxa" w:w="1950"/>
            <w:vAlign w:val="top"/>
            <w:shd w:fill="D9EAF7"/>
          </w:tcPr>
          <w:p>
            <w:r/>
            <w:r>
              <w:rPr>
                <w:b/>
                <w:sz w:val="16"/>
              </w:rPr>
              <w:t>Status</w:t>
            </w:r>
          </w:p>
        </w:tc>
        <w:tc>
          <w:tcPr>
            <w:tcW w:type="dxa" w:w="1950"/>
            <w:vAlign w:val="top"/>
            <w:shd w:fill="D9EAF7"/>
          </w:tcPr>
          <w:p>
            <w:r/>
            <w:r>
              <w:rPr>
                <w:b/>
                <w:sz w:val="16"/>
              </w:rPr>
              <w:t>Next test</w:t>
            </w:r>
          </w:p>
        </w:tc>
      </w:tr>
      <w:tr>
        <w:tc>
          <w:tcPr>
            <w:tcW w:type="dxa" w:w="1950"/>
            <w:vAlign w:val="top"/>
          </w:tcPr>
          <w:p>
            <w:r/>
            <w:r>
              <w:rPr>
                <w:b w:val="0"/>
                <w:sz w:val="14"/>
              </w:rPr>
              <w:t>Quantum/optical coherence measures</w:t>
            </w:r>
          </w:p>
        </w:tc>
        <w:tc>
          <w:tcPr>
            <w:tcW w:type="dxa" w:w="1950"/>
            <w:vAlign w:val="top"/>
          </w:tcPr>
          <w:p>
            <w:r/>
            <w:r>
              <w:rPr>
                <w:b w:val="0"/>
                <w:sz w:val="14"/>
              </w:rPr>
              <w:t>Glauber; later resource theory Baumgratz et al.</w:t>
            </w:r>
          </w:p>
        </w:tc>
        <w:tc>
          <w:tcPr>
            <w:tcW w:type="dxa" w:w="1950"/>
            <w:vAlign w:val="top"/>
          </w:tcPr>
          <w:p>
            <w:r/>
            <w:r>
              <w:rPr>
                <w:b w:val="0"/>
                <w:sz w:val="14"/>
              </w:rPr>
              <w:t>No broad priority; use as domain proxies.</w:t>
            </w:r>
          </w:p>
        </w:tc>
        <w:tc>
          <w:tcPr>
            <w:tcW w:type="dxa" w:w="1950"/>
            <w:vAlign w:val="top"/>
          </w:tcPr>
          <w:p>
            <w:r/>
            <w:r>
              <w:rPr>
                <w:b w:val="0"/>
                <w:sz w:val="14"/>
              </w:rPr>
              <w:t>CLOSED against broad priority</w:t>
            </w:r>
          </w:p>
        </w:tc>
        <w:tc>
          <w:tcPr>
            <w:tcW w:type="dxa" w:w="1950"/>
            <w:vAlign w:val="top"/>
          </w:tcPr>
          <w:p>
            <w:r/>
            <w:r>
              <w:rPr>
                <w:b w:val="0"/>
                <w:sz w:val="14"/>
              </w:rPr>
              <w:t>Domain mapping only.</w:t>
            </w:r>
          </w:p>
        </w:tc>
      </w:tr>
      <w:tr>
        <w:tc>
          <w:tcPr>
            <w:tcW w:type="dxa" w:w="1950"/>
            <w:vAlign w:val="top"/>
          </w:tcPr>
          <w:p>
            <w:r/>
            <w:r>
              <w:rPr>
                <w:b w:val="0"/>
                <w:sz w:val="14"/>
              </w:rPr>
              <w:t>Coherence spreading kinematics</w:t>
            </w:r>
          </w:p>
        </w:tc>
        <w:tc>
          <w:tcPr>
            <w:tcW w:type="dxa" w:w="1950"/>
            <w:vAlign w:val="top"/>
          </w:tcPr>
          <w:p>
            <w:r/>
            <w:r>
              <w:rPr>
                <w:b w:val="0"/>
                <w:sz w:val="14"/>
              </w:rPr>
              <w:t>Martirosyan et al., arXiv 10 Oct 2024</w:t>
            </w:r>
          </w:p>
        </w:tc>
        <w:tc>
          <w:tcPr>
            <w:tcW w:type="dxa" w:w="1950"/>
            <w:vAlign w:val="top"/>
          </w:tcPr>
          <w:p>
            <w:r/>
            <w:r>
              <w:rPr>
                <w:b w:val="0"/>
                <w:sz w:val="14"/>
              </w:rPr>
              <w:t>Potentially a distinct phenomenal/multi-frame kinematics, not “first coherence kinematics”.</w:t>
            </w:r>
          </w:p>
        </w:tc>
        <w:tc>
          <w:tcPr>
            <w:tcW w:type="dxa" w:w="1950"/>
            <w:vAlign w:val="top"/>
          </w:tcPr>
          <w:p>
            <w:r/>
            <w:r>
              <w:rPr>
                <w:b w:val="0"/>
                <w:sz w:val="14"/>
              </w:rPr>
              <w:t>CORRECTED</w:t>
            </w:r>
          </w:p>
        </w:tc>
        <w:tc>
          <w:tcPr>
            <w:tcW w:type="dxa" w:w="1950"/>
            <w:vAlign w:val="top"/>
          </w:tcPr>
          <w:p>
            <w:r/>
            <w:r>
              <w:rPr>
                <w:b w:val="0"/>
                <w:sz w:val="14"/>
              </w:rPr>
              <w:t>Compare definitions of state, trajectory, speed and boundary.</w:t>
            </w:r>
          </w:p>
        </w:tc>
      </w:tr>
      <w:tr>
        <w:tc>
          <w:tcPr>
            <w:tcW w:type="dxa" w:w="1950"/>
            <w:vAlign w:val="top"/>
          </w:tcPr>
          <w:p>
            <w:r/>
            <w:r>
              <w:rPr>
                <w:b w:val="0"/>
                <w:sz w:val="14"/>
              </w:rPr>
              <w:t>Cross-domain coherence ODE</w:t>
            </w:r>
          </w:p>
        </w:tc>
        <w:tc>
          <w:tcPr>
            <w:tcW w:type="dxa" w:w="1950"/>
            <w:vAlign w:val="top"/>
          </w:tcPr>
          <w:p>
            <w:r/>
            <w:r>
              <w:rPr>
                <w:b w:val="0"/>
                <w:sz w:val="14"/>
              </w:rPr>
              <w:t>UCP, 5 Jun 2025</w:t>
            </w:r>
          </w:p>
        </w:tc>
        <w:tc>
          <w:tcPr>
            <w:tcW w:type="dxa" w:w="1950"/>
            <w:vAlign w:val="top"/>
          </w:tcPr>
          <w:p>
            <w:r/>
            <w:r>
              <w:rPr>
                <w:b w:val="0"/>
                <w:sz w:val="14"/>
              </w:rPr>
              <w:t>Zoran cannot claim first cross-domain dynamic coherence equation.</w:t>
            </w:r>
          </w:p>
        </w:tc>
        <w:tc>
          <w:tcPr>
            <w:tcW w:type="dxa" w:w="1950"/>
            <w:vAlign w:val="top"/>
          </w:tcPr>
          <w:p>
            <w:r/>
            <w:r>
              <w:rPr>
                <w:b w:val="0"/>
                <w:sz w:val="14"/>
              </w:rPr>
              <w:t>CORRECTED</w:t>
            </w:r>
          </w:p>
        </w:tc>
        <w:tc>
          <w:tcPr>
            <w:tcW w:type="dxa" w:w="1950"/>
            <w:vAlign w:val="top"/>
          </w:tcPr>
          <w:p>
            <w:r/>
            <w:r>
              <w:rPr>
                <w:b w:val="0"/>
                <w:sz w:val="14"/>
              </w:rPr>
              <w:t>Compare falsification, frame semantics, non-compensation and implementation.</w:t>
            </w:r>
          </w:p>
        </w:tc>
      </w:tr>
      <w:tr>
        <w:tc>
          <w:tcPr>
            <w:tcW w:type="dxa" w:w="1950"/>
            <w:vAlign w:val="top"/>
          </w:tcPr>
          <w:p>
            <w:r/>
            <w:r>
              <w:rPr>
                <w:b w:val="0"/>
                <w:sz w:val="14"/>
              </w:rPr>
              <w:t>Cross-domain ratio/gauge with frame-declared operands</w:t>
            </w:r>
          </w:p>
        </w:tc>
        <w:tc>
          <w:tcPr>
            <w:tcW w:type="dxa" w:w="1950"/>
            <w:vAlign w:val="top"/>
          </w:tcPr>
          <w:p>
            <w:r/>
            <w:r>
              <w:rPr>
                <w:b w:val="0"/>
                <w:sz w:val="14"/>
              </w:rPr>
              <w:t>Zoran public line Nov 2025 in current audit</w:t>
            </w:r>
          </w:p>
        </w:tc>
        <w:tc>
          <w:tcPr>
            <w:tcW w:type="dxa" w:w="1950"/>
            <w:vAlign w:val="top"/>
          </w:tcPr>
          <w:p>
            <w:r/>
            <w:r>
              <w:rPr>
                <w:b w:val="0"/>
                <w:sz w:val="14"/>
              </w:rPr>
              <w:t>Potentially specific Zoran contribution, subject to deeper pre-Nov prior art.</w:t>
            </w:r>
          </w:p>
        </w:tc>
        <w:tc>
          <w:tcPr>
            <w:tcW w:type="dxa" w:w="1950"/>
            <w:vAlign w:val="top"/>
          </w:tcPr>
          <w:p>
            <w:r/>
            <w:r>
              <w:rPr>
                <w:b w:val="0"/>
                <w:sz w:val="14"/>
              </w:rPr>
              <w:t>OPEN/DEFENSIBLE</w:t>
            </w:r>
          </w:p>
        </w:tc>
        <w:tc>
          <w:tcPr>
            <w:tcW w:type="dxa" w:w="1950"/>
            <w:vAlign w:val="top"/>
          </w:tcPr>
          <w:p>
            <w:r/>
            <w:r>
              <w:rPr>
                <w:b w:val="0"/>
                <w:sz w:val="14"/>
              </w:rPr>
              <w:t>Dedicated prior-art search by ratio skeleton and semantics.</w:t>
            </w:r>
          </w:p>
        </w:tc>
      </w:tr>
      <w:tr>
        <w:tc>
          <w:tcPr>
            <w:tcW w:type="dxa" w:w="1950"/>
            <w:vAlign w:val="top"/>
          </w:tcPr>
          <w:p>
            <w:r/>
            <w:r>
              <w:rPr>
                <w:b w:val="0"/>
                <w:sz w:val="14"/>
              </w:rPr>
              <w:t>Admissibility + continuation gate</w:t>
            </w:r>
          </w:p>
        </w:tc>
        <w:tc>
          <w:tcPr>
            <w:tcW w:type="dxa" w:w="1950"/>
            <w:vAlign w:val="top"/>
          </w:tcPr>
          <w:p>
            <w:r/>
            <w:r>
              <w:rPr>
                <w:b w:val="0"/>
                <w:sz w:val="14"/>
              </w:rPr>
              <w:t>Earlier viability/constraint traditions; Z1 before Paton UAE</w:t>
            </w:r>
          </w:p>
        </w:tc>
        <w:tc>
          <w:tcPr>
            <w:tcW w:type="dxa" w:w="1950"/>
            <w:vAlign w:val="top"/>
          </w:tcPr>
          <w:p>
            <w:r/>
            <w:r>
              <w:rPr>
                <w:b w:val="0"/>
                <w:sz w:val="14"/>
              </w:rPr>
              <w:t>Zoran can document its own earlier coherence-admissibility chain; not broad admissibility priority.</w:t>
            </w:r>
          </w:p>
        </w:tc>
        <w:tc>
          <w:tcPr>
            <w:tcW w:type="dxa" w:w="1950"/>
            <w:vAlign w:val="top"/>
          </w:tcPr>
          <w:p>
            <w:r/>
            <w:r>
              <w:rPr>
                <w:b w:val="0"/>
                <w:sz w:val="14"/>
              </w:rPr>
              <w:t>PARTLY CLOSED</w:t>
            </w:r>
          </w:p>
        </w:tc>
        <w:tc>
          <w:tcPr>
            <w:tcW w:type="dxa" w:w="1950"/>
            <w:vAlign w:val="top"/>
          </w:tcPr>
          <w:p>
            <w:r/>
            <w:r>
              <w:rPr>
                <w:b w:val="0"/>
                <w:sz w:val="14"/>
              </w:rPr>
              <w:t>Trace earliest Zoran explicit gate and external pre-2025 gates.</w:t>
            </w:r>
          </w:p>
        </w:tc>
      </w:tr>
      <w:tr>
        <w:tc>
          <w:tcPr>
            <w:tcW w:type="dxa" w:w="1950"/>
            <w:vAlign w:val="top"/>
          </w:tcPr>
          <w:p>
            <w:r/>
            <w:r>
              <w:rPr>
                <w:b w:val="0"/>
                <w:sz w:val="14"/>
              </w:rPr>
              <w:t>Reachability as necessary condition</w:t>
            </w:r>
          </w:p>
        </w:tc>
        <w:tc>
          <w:tcPr>
            <w:tcW w:type="dxa" w:w="1950"/>
            <w:vAlign w:val="top"/>
          </w:tcPr>
          <w:p>
            <w:r/>
            <w:r>
              <w:rPr>
                <w:b w:val="0"/>
                <w:sz w:val="14"/>
              </w:rPr>
              <w:t>Paton explicit 20 Feb 2026; viability theory much earlier has path-existence notions</w:t>
            </w:r>
          </w:p>
        </w:tc>
        <w:tc>
          <w:tcPr>
            <w:tcW w:type="dxa" w:w="1950"/>
            <w:vAlign w:val="top"/>
          </w:tcPr>
          <w:p>
            <w:r/>
            <w:r>
              <w:rPr>
                <w:b w:val="0"/>
                <w:sz w:val="14"/>
              </w:rPr>
              <w:t>No claim until Zoran pre-Paton trajectory formalism is matched exactly.</w:t>
            </w:r>
          </w:p>
        </w:tc>
        <w:tc>
          <w:tcPr>
            <w:tcW w:type="dxa" w:w="1950"/>
            <w:vAlign w:val="top"/>
          </w:tcPr>
          <w:p>
            <w:r/>
            <w:r>
              <w:rPr>
                <w:b w:val="0"/>
                <w:sz w:val="14"/>
              </w:rPr>
              <w:t>OPEN</w:t>
            </w:r>
          </w:p>
        </w:tc>
        <w:tc>
          <w:tcPr>
            <w:tcW w:type="dxa" w:w="1950"/>
            <w:vAlign w:val="top"/>
          </w:tcPr>
          <w:p>
            <w:r/>
            <w:r>
              <w:rPr>
                <w:b w:val="0"/>
                <w:sz w:val="14"/>
              </w:rPr>
              <w:t>Search Zoran archives + viability/reachability priority.</w:t>
            </w:r>
          </w:p>
        </w:tc>
      </w:tr>
      <w:tr>
        <w:tc>
          <w:tcPr>
            <w:tcW w:type="dxa" w:w="1950"/>
            <w:vAlign w:val="top"/>
          </w:tcPr>
          <w:p>
            <w:r/>
            <w:r>
              <w:rPr>
                <w:b w:val="0"/>
                <w:sz w:val="14"/>
              </w:rPr>
              <w:t>Persistence ODE driven by coherence threshold</w:t>
            </w:r>
          </w:p>
        </w:tc>
        <w:tc>
          <w:tcPr>
            <w:tcW w:type="dxa" w:w="1950"/>
            <w:vAlign w:val="top"/>
          </w:tcPr>
          <w:p>
            <w:r/>
            <w:r>
              <w:rPr>
                <w:b w:val="0"/>
                <w:sz w:val="14"/>
              </w:rPr>
              <w:t>Al-Mayahi explicit 2026; generic threshold ODEs pre-exist</w:t>
            </w:r>
          </w:p>
        </w:tc>
        <w:tc>
          <w:tcPr>
            <w:tcW w:type="dxa" w:w="1950"/>
            <w:vAlign w:val="top"/>
          </w:tcPr>
          <w:p>
            <w:r/>
            <w:r>
              <w:rPr>
                <w:b w:val="0"/>
                <w:sz w:val="14"/>
              </w:rPr>
              <w:t>Zoran should treat this as an external dynamical extension unless earlier Zoran ODE is found.</w:t>
            </w:r>
          </w:p>
        </w:tc>
        <w:tc>
          <w:tcPr>
            <w:tcW w:type="dxa" w:w="1950"/>
            <w:vAlign w:val="top"/>
          </w:tcPr>
          <w:p>
            <w:r/>
            <w:r>
              <w:rPr>
                <w:b w:val="0"/>
                <w:sz w:val="14"/>
              </w:rPr>
              <w:t>OPEN</w:t>
            </w:r>
          </w:p>
        </w:tc>
        <w:tc>
          <w:tcPr>
            <w:tcW w:type="dxa" w:w="1950"/>
            <w:vAlign w:val="top"/>
          </w:tcPr>
          <w:p>
            <w:r/>
            <w:r>
              <w:rPr>
                <w:b w:val="0"/>
                <w:sz w:val="14"/>
              </w:rPr>
              <w:t>Search Zoran 2025/early-2026 differential forms.</w:t>
            </w:r>
          </w:p>
        </w:tc>
      </w:tr>
      <w:tr>
        <w:tc>
          <w:tcPr>
            <w:tcW w:type="dxa" w:w="1950"/>
            <w:vAlign w:val="top"/>
          </w:tcPr>
          <w:p>
            <w:r/>
            <w:r>
              <w:rPr>
                <w:b w:val="0"/>
                <w:sz w:val="14"/>
              </w:rPr>
              <w:t>AI-assisted transversal falsification architecture</w:t>
            </w:r>
          </w:p>
        </w:tc>
        <w:tc>
          <w:tcPr>
            <w:tcW w:type="dxa" w:w="1950"/>
            <w:vAlign w:val="top"/>
          </w:tcPr>
          <w:p>
            <w:r/>
            <w:r>
              <w:rPr>
                <w:b w:val="0"/>
                <w:sz w:val="14"/>
              </w:rPr>
              <w:t>Zoran has unusually explicit LLM+formal-gate methodology in 2025–2026 corpus</w:t>
            </w:r>
          </w:p>
        </w:tc>
        <w:tc>
          <w:tcPr>
            <w:tcW w:type="dxa" w:w="1950"/>
            <w:vAlign w:val="top"/>
          </w:tcPr>
          <w:p>
            <w:r/>
            <w:r>
              <w:rPr>
                <w:b w:val="0"/>
                <w:sz w:val="14"/>
              </w:rPr>
              <w:t>Potential methodological contribution, but priority requires AI-science prior-art audit.</w:t>
            </w:r>
          </w:p>
        </w:tc>
        <w:tc>
          <w:tcPr>
            <w:tcW w:type="dxa" w:w="1950"/>
            <w:vAlign w:val="top"/>
          </w:tcPr>
          <w:p>
            <w:r/>
            <w:r>
              <w:rPr>
                <w:b w:val="0"/>
                <w:sz w:val="14"/>
              </w:rPr>
              <w:t>OPEN/INTERESTING</w:t>
            </w:r>
          </w:p>
        </w:tc>
        <w:tc>
          <w:tcPr>
            <w:tcW w:type="dxa" w:w="1950"/>
            <w:vAlign w:val="top"/>
          </w:tcPr>
          <w:p>
            <w:r/>
            <w:r>
              <w:rPr>
                <w:b w:val="0"/>
                <w:sz w:val="14"/>
              </w:rPr>
              <w:t>Pass 5 dedicated methods/prior-art review.</w:t>
            </w:r>
          </w:p>
        </w:tc>
      </w:tr>
    </w:tbl>
    <w:p>
      <w:pPr>
        <w:pStyle w:val="Heading1"/>
        <w:keepNext/>
        <w:keepLines/>
      </w:pPr>
      <w:r>
        <w:t>18. Pass 3 conclusions</w:t>
      </w:r>
    </w:p>
    <w:p>
      <w:r>
        <w:t>1 — The most useful outcome is not a single winner. The candidate equations encode different mathematical information: phase order, resource coherence, generation/loss dynamics, endpoint admissibility, path reachability, harmonic drift, persistence growth/decay, and constrained trajectory families.</w:t>
      </w:r>
    </w:p>
    <w:p>
      <w:r>
        <w:t>2 — A recurrent ratio skeleton does exist across several programmes, but a shared numerator/denominator shape is not enough to establish scientific equivalence. The semantics, dimensions, state variables, domains and time operators must also match.</w:t>
      </w:r>
    </w:p>
    <w:p>
      <w:r>
        <w:t>3 — Paton reachability is formally demonstrated here to be non-reducible to an endpoint scalar gauge alone. This is a real mathematical delta unless an earlier Zoran trajectory/path operator is shown to contain it.</w:t>
      </w:r>
    </w:p>
    <w:p>
      <w:r>
        <w:t>4 — UCP is an important pre-Zoran 2025 cross-domain dynamical precursor and must be credited prominently. Its equilibrium ratio is structurally comparable to ratio-type gauges, while the full ODE is richer dynamically.</w:t>
      </w:r>
    </w:p>
    <w:p>
      <w:r>
        <w:t>5 — Martirosyan et al. establish a pre-Zoran physical kinematics of coherence spreading. Zoran should therefore avoid any broad “first coherence kinematics” claim and instead define precisely what is distinctive about phenomenal or multi-frame coherence kinematics.</w:t>
      </w:r>
    </w:p>
    <w:p>
      <w:r>
        <w:t>6 — The strongest Zoran research question remains the assembly question: whether a frame-declared phenomenal gauge, non-compensating multi-frame logic, temporal debt, trajectory admissibility, falsification tooling and deterministic AI implementation form a reproducible structure not previously assembled in one programme.</w:t>
      </w:r>
    </w:p>
    <w:p>
      <w:pPr>
        <w:pStyle w:val="Heading1"/>
        <w:keepNext/>
        <w:keepLines/>
      </w:pPr>
      <w:r>
        <w:t>19. Sources added or corrected in Pass 3</w:t>
      </w:r>
    </w:p>
    <w:p>
      <w:r>
        <w:t>Martirosyan, G. et al. A universal speed limit for spreading of quantum coherence. arXiv:2410.08204, first submitted 10 October 2024; Nature publication DOI 10.1038/s41586-025-09735-z.</w:t>
      </w:r>
    </w:p>
    <w:p>
      <w:r>
        <w:t>Coherent Intelligence Inc. Research Division. Universal Coherence Principle: Mathematical Formalization and Cross-Domain Applications. Dated 5 June 2025. https://coherent-intelligence.uk/papers/ucp-math.html</w:t>
      </w:r>
    </w:p>
    <w:p>
      <w:r>
        <w:t>Todd, I. Coherence as a Physical Resource Below the Landauer Limit. DOI 10.5281/zenodo.15470314, 20 May 2025.</w:t>
      </w:r>
    </w:p>
    <w:p>
      <w:r>
        <w:t>Hensgen, A. Δ.72 Field Equation. DOI 10.5281/zenodo.17618496 (v1, 15 Nov 2025); DOI 10.5281/zenodo.17624004 (v1.6, 16 Nov 2025).</w:t>
      </w:r>
    </w:p>
    <w:p>
      <w:r>
        <w:t>Bostick, D. The Universal Coherence Law: Why All Stable Recurrence Reduces to Chiral, Prime-Indexed SO(2) Dynamics and Why PAS_h Is the Unique Universal Coherence Invariant. PhilPapers/PhilArchive late-2025 record.</w:t>
      </w:r>
    </w:p>
    <w:p>
      <w:r>
        <w:t>Allen, K. Allen’s Law of Admissible Structure. DOI 10.5281/zenodo.18442745, 31 Jan 2026.</w:t>
      </w:r>
    </w:p>
    <w:p>
      <w:r>
        <w:t>Paton, A. J. The Unified Admissibility Equation. DOI 10.5281/zenodo.18707596; The Foundational Admissibility Framework. DOI 10.5281/zenodo.18708653; both archived 20 Feb 2026.</w:t>
      </w:r>
    </w:p>
    <w:p>
      <w:r>
        <w:t>Al-Mayahi, A. The Coherence Constraint. DOI 10.5281/zenodo.19056454; Coherence as Mutual Information. DOI 10.5281/zenodo.19185301.</w:t>
      </w:r>
    </w:p>
    <w:p>
      <w:r>
        <w:br w:type="page"/>
      </w:r>
    </w:p>
    <w:p>
      <w:pPr>
        <w:pStyle w:val="Heading1"/>
        <w:keepNext/>
        <w:keepLines/>
      </w:pPr>
      <w:r>
        <w:t>20. Pass 4/10 — Pre-Paton Zoran antecedent closure</w:t>
      </w:r>
    </w:p>
    <w:p>
      <w:r>
        <w:t>Purpose. Pass 3 proved a narrow non-equivalence: endpoint S(x) alone cannot encode path reachability. It deliberately left a historical question open — whether a broader Zoran trajectory formalism published before 20 February 2026 already contained reachable states, continuation, admissible futures, or an explicit path-existence relation. Pass 4 addresses that question directly.</w:t>
      </w:r>
    </w:p>
    <w:p>
      <w:pPr/>
      <w:r>
        <w:rPr>
          <w:b/>
        </w:rPr>
        <w:t xml:space="preserve">AUDIT DATE — </w:t>
      </w:r>
      <w:r>
        <w:t>26 August 2026.</w:t>
      </w:r>
    </w:p>
    <w:p>
      <w:pPr/>
      <w:r>
        <w:rPr>
          <w:b/>
        </w:rPr>
        <w:t xml:space="preserve">DATE GATE — </w:t>
      </w:r>
      <w:r>
        <w:t>Only Zoran material demonstrably public before 20 February 2026 can constrain Paton priority. Internal dates are reported as author-declared dates unless a public dated source independently anchors them.</w:t>
      </w:r>
    </w:p>
    <w:p>
      <w:pPr/>
      <w:r>
        <w:rPr>
          <w:b/>
        </w:rPr>
        <w:t xml:space="preserve">NEGATIVE-EVIDENCE RULE — </w:t>
      </w:r>
      <w:r>
        <w:t>Failure to recover a formula from the connected public corpus is reported as NOT RECOVERED / bounded search, never as proof that no private, deleted, or inaccessible artefact ever existed.</w:t>
      </w:r>
    </w:p>
    <w:p>
      <w:pPr/>
      <w:r>
        <w:rPr>
          <w:b/>
        </w:rPr>
        <w:t xml:space="preserve">SEMANTIC RULE — </w:t>
      </w:r>
      <w:r>
        <w:t>The words future, trajectory, reachable, continuation, operant, or coherence do not by themselves establish identity. The mathematical role of each object is classified separately.</w:t>
      </w:r>
    </w:p>
    <w:p>
      <w:pPr>
        <w:pStyle w:val="Heading2"/>
        <w:keepNext/>
        <w:keepLines/>
      </w:pPr>
      <w:r>
        <w:t>20.1 Search surface and query families</w:t>
      </w:r>
    </w:p>
    <w:tbl>
      <w:tblPr>
        <w:tblStyle w:val="TableGrid"/>
        <w:tblW w:type="auto" w:w="0"/>
        <w:jc w:val="center"/>
        <w:tblLayout w:type="autofit"/>
        <w:tblLook w:firstColumn="1" w:firstRow="1" w:lastColumn="0" w:lastRow="0" w:noHBand="0" w:noVBand="1" w:val="04A0"/>
      </w:tblPr>
      <w:tblGrid>
        <w:gridCol w:w="3250"/>
        <w:gridCol w:w="3250"/>
        <w:gridCol w:w="3250"/>
      </w:tblGrid>
      <w:tr>
        <w:trPr>
          <w:tblHeader w:val="true"/>
        </w:trPr>
        <w:tc>
          <w:tcPr>
            <w:tcW w:type="dxa" w:w="3250"/>
            <w:vAlign w:val="center"/>
            <w:tcMar>
              <w:top w:w="80" w:type="dxa"/>
              <w:start w:w="80" w:type="dxa"/>
              <w:bottom w:w="80" w:type="dxa"/>
              <w:end w:w="80" w:type="dxa"/>
            </w:tcMar>
          </w:tcPr>
          <w:p>
            <w:pPr>
              <w:spacing w:after="0"/>
            </w:pPr>
            <w:r>
              <w:rPr>
                <w:b/>
                <w:sz w:val="16"/>
              </w:rPr>
              <w:t>Family</w:t>
            </w:r>
          </w:p>
        </w:tc>
        <w:tc>
          <w:tcPr>
            <w:tcW w:type="dxa" w:w="3250"/>
            <w:vAlign w:val="center"/>
            <w:tcMar>
              <w:top w:w="80" w:type="dxa"/>
              <w:start w:w="80" w:type="dxa"/>
              <w:bottom w:w="80" w:type="dxa"/>
              <w:end w:w="80" w:type="dxa"/>
            </w:tcMar>
          </w:tcPr>
          <w:p>
            <w:pPr>
              <w:spacing w:after="0"/>
            </w:pPr>
            <w:r>
              <w:rPr>
                <w:b/>
                <w:sz w:val="16"/>
              </w:rPr>
              <w:t>Queries / concepts</w:t>
            </w:r>
          </w:p>
        </w:tc>
        <w:tc>
          <w:tcPr>
            <w:tcW w:type="dxa" w:w="3250"/>
            <w:vAlign w:val="center"/>
            <w:tcMar>
              <w:top w:w="80" w:type="dxa"/>
              <w:start w:w="80" w:type="dxa"/>
              <w:bottom w:w="80" w:type="dxa"/>
              <w:end w:w="80" w:type="dxa"/>
            </w:tcMar>
          </w:tcPr>
          <w:p>
            <w:pPr>
              <w:spacing w:after="0"/>
            </w:pPr>
            <w:r>
              <w:rPr>
                <w:b/>
                <w:sz w:val="16"/>
              </w:rPr>
              <w:t>Pass-4 result</w:t>
            </w:r>
          </w:p>
        </w:tc>
      </w:tr>
      <w:tr>
        <w:tc>
          <w:tcPr>
            <w:tcW w:type="dxa" w:w="3250"/>
            <w:vAlign w:val="center"/>
            <w:tcMar>
              <w:top w:w="80" w:type="dxa"/>
              <w:start w:w="80" w:type="dxa"/>
              <w:bottom w:w="80" w:type="dxa"/>
              <w:end w:w="80" w:type="dxa"/>
            </w:tcMar>
          </w:tcPr>
          <w:p>
            <w:pPr>
              <w:spacing w:after="0"/>
            </w:pPr>
            <w:r>
              <w:rPr>
                <w:sz w:val="16"/>
              </w:rPr>
              <w:t>Reachability</w:t>
            </w:r>
          </w:p>
        </w:tc>
        <w:tc>
          <w:tcPr>
            <w:tcW w:type="dxa" w:w="3250"/>
            <w:vAlign w:val="center"/>
            <w:tcMar>
              <w:top w:w="80" w:type="dxa"/>
              <w:start w:w="80" w:type="dxa"/>
              <w:bottom w:w="80" w:type="dxa"/>
              <w:end w:w="80" w:type="dxa"/>
            </w:tcMar>
          </w:tcPr>
          <w:p>
            <w:pPr>
              <w:spacing w:after="0"/>
            </w:pPr>
            <w:r>
              <w:rPr>
                <w:sz w:val="16"/>
              </w:rPr>
              <w:t>reachable; reachability; attainable/atteignable; path existence; exists path; transition relation</w:t>
            </w:r>
          </w:p>
        </w:tc>
        <w:tc>
          <w:tcPr>
            <w:tcW w:type="dxa" w:w="3250"/>
            <w:vAlign w:val="center"/>
            <w:tcMar>
              <w:top w:w="80" w:type="dxa"/>
              <w:start w:w="80" w:type="dxa"/>
              <w:bottom w:w="80" w:type="dxa"/>
              <w:end w:w="80" w:type="dxa"/>
            </w:tcMar>
          </w:tcPr>
          <w:p>
            <w:pPr>
              <w:spacing w:after="0"/>
            </w:pPr>
            <w:r>
              <w:rPr>
                <w:sz w:val="16"/>
              </w:rPr>
              <w:t>Exact lexical hit for “reachable” recovered in 17977201; no exact pre-Paton “reachability” operator recovered.</w:t>
            </w:r>
          </w:p>
        </w:tc>
      </w:tr>
      <w:tr>
        <w:tc>
          <w:tcPr>
            <w:tcW w:type="dxa" w:w="3250"/>
            <w:vAlign w:val="center"/>
            <w:tcMar>
              <w:top w:w="80" w:type="dxa"/>
              <w:start w:w="80" w:type="dxa"/>
              <w:bottom w:w="80" w:type="dxa"/>
              <w:end w:w="80" w:type="dxa"/>
            </w:tcMar>
          </w:tcPr>
          <w:p>
            <w:pPr>
              <w:spacing w:after="0"/>
            </w:pPr>
            <w:r>
              <w:rPr>
                <w:sz w:val="16"/>
              </w:rPr>
              <w:t>Trajectory</w:t>
            </w:r>
          </w:p>
        </w:tc>
        <w:tc>
          <w:tcPr>
            <w:tcW w:type="dxa" w:w="3250"/>
            <w:vAlign w:val="center"/>
            <w:tcMar>
              <w:top w:w="80" w:type="dxa"/>
              <w:start w:w="80" w:type="dxa"/>
              <w:bottom w:w="80" w:type="dxa"/>
              <w:end w:w="80" w:type="dxa"/>
            </w:tcMar>
          </w:tcPr>
          <w:p>
            <w:pPr>
              <w:spacing w:after="0"/>
            </w:pPr>
            <w:r>
              <w:rPr>
                <w:sz w:val="16"/>
              </w:rPr>
              <w:t>trajectory; trajectoire; S(t); trend; temporal; continuation; prolongation</w:t>
            </w:r>
          </w:p>
        </w:tc>
        <w:tc>
          <w:tcPr>
            <w:tcW w:type="dxa" w:w="3250"/>
            <w:vAlign w:val="center"/>
            <w:tcMar>
              <w:top w:w="80" w:type="dxa"/>
              <w:start w:w="80" w:type="dxa"/>
              <w:bottom w:w="80" w:type="dxa"/>
              <w:end w:w="80" w:type="dxa"/>
            </w:tcMar>
          </w:tcPr>
          <w:p>
            <w:pPr>
              <w:spacing w:after="0"/>
            </w:pPr>
            <w:r>
              <w:rPr>
                <w:sz w:val="16"/>
              </w:rPr>
              <w:t>Multiple pre-Paton theoretical and executable artefacts recovered.</w:t>
            </w:r>
          </w:p>
        </w:tc>
      </w:tr>
      <w:tr>
        <w:tc>
          <w:tcPr>
            <w:tcW w:type="dxa" w:w="3250"/>
            <w:vAlign w:val="center"/>
            <w:tcMar>
              <w:top w:w="80" w:type="dxa"/>
              <w:start w:w="80" w:type="dxa"/>
              <w:bottom w:w="80" w:type="dxa"/>
              <w:end w:w="80" w:type="dxa"/>
            </w:tcMar>
          </w:tcPr>
          <w:p>
            <w:pPr>
              <w:spacing w:after="0"/>
            </w:pPr>
            <w:r>
              <w:rPr>
                <w:sz w:val="16"/>
              </w:rPr>
              <w:t>Admissible futures</w:t>
            </w:r>
          </w:p>
        </w:tc>
        <w:tc>
          <w:tcPr>
            <w:tcW w:type="dxa" w:w="3250"/>
            <w:vAlign w:val="center"/>
            <w:tcMar>
              <w:top w:w="80" w:type="dxa"/>
              <w:start w:w="80" w:type="dxa"/>
              <w:bottom w:w="80" w:type="dxa"/>
              <w:end w:w="80" w:type="dxa"/>
            </w:tcMar>
          </w:tcPr>
          <w:p>
            <w:pPr>
              <w:spacing w:after="0"/>
            </w:pPr>
            <w:r>
              <w:rPr>
                <w:sz w:val="16"/>
              </w:rPr>
              <w:t>admissible future(s); futur(s) admissible(s); continuation; persistence</w:t>
            </w:r>
          </w:p>
        </w:tc>
        <w:tc>
          <w:tcPr>
            <w:tcW w:type="dxa" w:w="3250"/>
            <w:vAlign w:val="center"/>
            <w:tcMar>
              <w:top w:w="80" w:type="dxa"/>
              <w:start w:w="80" w:type="dxa"/>
              <w:bottom w:w="80" w:type="dxa"/>
              <w:end w:w="80" w:type="dxa"/>
            </w:tcMar>
          </w:tcPr>
          <w:p>
            <w:pPr>
              <w:spacing w:after="0"/>
            </w:pPr>
            <w:r>
              <w:rPr>
                <w:sz w:val="16"/>
              </w:rPr>
              <w:t>Dedicated Zoran white paper and typology recovered.</w:t>
            </w:r>
          </w:p>
        </w:tc>
      </w:tr>
      <w:tr>
        <w:tc>
          <w:tcPr>
            <w:tcW w:type="dxa" w:w="3250"/>
            <w:vAlign w:val="center"/>
            <w:tcMar>
              <w:top w:w="80" w:type="dxa"/>
              <w:start w:w="80" w:type="dxa"/>
              <w:bottom w:w="80" w:type="dxa"/>
              <w:end w:w="80" w:type="dxa"/>
            </w:tcMar>
          </w:tcPr>
          <w:p>
            <w:pPr>
              <w:spacing w:after="0"/>
            </w:pPr>
            <w:r>
              <w:rPr>
                <w:sz w:val="16"/>
              </w:rPr>
              <w:t>Operant / operated</w:t>
            </w:r>
          </w:p>
        </w:tc>
        <w:tc>
          <w:tcPr>
            <w:tcW w:type="dxa" w:w="3250"/>
            <w:vAlign w:val="center"/>
            <w:tcMar>
              <w:top w:w="80" w:type="dxa"/>
              <w:start w:w="80" w:type="dxa"/>
              <w:bottom w:w="80" w:type="dxa"/>
              <w:end w:w="80" w:type="dxa"/>
            </w:tcMar>
          </w:tcPr>
          <w:p>
            <w:pPr>
              <w:spacing w:after="0"/>
            </w:pPr>
            <w:r>
              <w:rPr>
                <w:sz w:val="16"/>
              </w:rPr>
              <w:t>operant; opérant; operated; opéré; interaction</w:t>
            </w:r>
          </w:p>
        </w:tc>
        <w:tc>
          <w:tcPr>
            <w:tcW w:type="dxa" w:w="3250"/>
            <w:vAlign w:val="center"/>
            <w:tcMar>
              <w:top w:w="80" w:type="dxa"/>
              <w:start w:w="80" w:type="dxa"/>
              <w:bottom w:w="80" w:type="dxa"/>
              <w:end w:w="80" w:type="dxa"/>
            </w:tcMar>
          </w:tcPr>
          <w:p>
            <w:pPr>
              <w:spacing w:after="0"/>
            </w:pPr>
            <w:r>
              <w:rPr>
                <w:sz w:val="16"/>
              </w:rPr>
              <w:t>Dedicated Cφ+S architecture and later anthropological formalization recovered.</w:t>
            </w:r>
          </w:p>
        </w:tc>
      </w:tr>
      <w:tr>
        <w:tc>
          <w:tcPr>
            <w:tcW w:type="dxa" w:w="3250"/>
            <w:vAlign w:val="center"/>
            <w:tcMar>
              <w:top w:w="80" w:type="dxa"/>
              <w:start w:w="80" w:type="dxa"/>
              <w:bottom w:w="80" w:type="dxa"/>
              <w:end w:w="80" w:type="dxa"/>
            </w:tcMar>
          </w:tcPr>
          <w:p>
            <w:pPr>
              <w:spacing w:after="0"/>
            </w:pPr>
            <w:r>
              <w:rPr>
                <w:sz w:val="16"/>
              </w:rPr>
              <w:t>Operands</w:t>
            </w:r>
          </w:p>
        </w:tc>
        <w:tc>
          <w:tcPr>
            <w:tcW w:type="dxa" w:w="3250"/>
            <w:vAlign w:val="center"/>
            <w:tcMar>
              <w:top w:w="80" w:type="dxa"/>
              <w:start w:w="80" w:type="dxa"/>
              <w:bottom w:w="80" w:type="dxa"/>
              <w:end w:w="80" w:type="dxa"/>
            </w:tcMar>
          </w:tcPr>
          <w:p>
            <w:pPr>
              <w:spacing w:after="0"/>
            </w:pPr>
            <w:r>
              <w:rPr>
                <w:sz w:val="16"/>
              </w:rPr>
              <w:t>β; ΔΦ; T; σ; operand/opérande; frame mapping</w:t>
            </w:r>
          </w:p>
        </w:tc>
        <w:tc>
          <w:tcPr>
            <w:tcW w:type="dxa" w:w="3250"/>
            <w:vAlign w:val="center"/>
            <w:tcMar>
              <w:top w:w="80" w:type="dxa"/>
              <w:start w:w="80" w:type="dxa"/>
              <w:bottom w:w="80" w:type="dxa"/>
              <w:end w:w="80" w:type="dxa"/>
            </w:tcMar>
          </w:tcPr>
          <w:p>
            <w:pPr>
              <w:spacing w:after="0"/>
            </w:pPr>
            <w:r>
              <w:rPr>
                <w:sz w:val="16"/>
              </w:rPr>
              <w:t>Gauge operands and mappings recovered; no basis to equate these with operant/opéré categories.</w:t>
            </w:r>
          </w:p>
        </w:tc>
      </w:tr>
      <w:tr>
        <w:tc>
          <w:tcPr>
            <w:tcW w:type="dxa" w:w="3250"/>
            <w:vAlign w:val="center"/>
            <w:tcMar>
              <w:top w:w="80" w:type="dxa"/>
              <w:start w:w="80" w:type="dxa"/>
              <w:bottom w:w="80" w:type="dxa"/>
              <w:end w:w="80" w:type="dxa"/>
            </w:tcMar>
          </w:tcPr>
          <w:p>
            <w:pPr>
              <w:spacing w:after="0"/>
            </w:pPr>
            <w:r>
              <w:rPr>
                <w:sz w:val="16"/>
              </w:rPr>
              <w:t>Kinematics</w:t>
            </w:r>
          </w:p>
        </w:tc>
        <w:tc>
          <w:tcPr>
            <w:tcW w:type="dxa" w:w="3250"/>
            <w:vAlign w:val="center"/>
            <w:tcMar>
              <w:top w:w="80" w:type="dxa"/>
              <w:start w:w="80" w:type="dxa"/>
              <w:bottom w:w="80" w:type="dxa"/>
              <w:end w:w="80" w:type="dxa"/>
            </w:tcMar>
          </w:tcPr>
          <w:p>
            <w:pPr>
              <w:spacing w:after="0"/>
            </w:pPr>
            <w:r>
              <w:rPr>
                <w:sz w:val="16"/>
              </w:rPr>
              <w:t>kinematics; cinématique; velocity/speed; derivative; state transition; future state</w:t>
            </w:r>
          </w:p>
        </w:tc>
        <w:tc>
          <w:tcPr>
            <w:tcW w:type="dxa" w:w="3250"/>
            <w:vAlign w:val="center"/>
            <w:tcMar>
              <w:top w:w="80" w:type="dxa"/>
              <w:start w:w="80" w:type="dxa"/>
              <w:bottom w:w="80" w:type="dxa"/>
              <w:end w:w="80" w:type="dxa"/>
            </w:tcMar>
          </w:tcPr>
          <w:p>
            <w:pPr>
              <w:spacing w:after="0"/>
            </w:pPr>
            <w:r>
              <w:rPr>
                <w:sz w:val="16"/>
              </w:rPr>
              <w:t>Temporal Zoran forms recovered; broad physical-coherence-kinematics priority remains blocked by Martirosyan 2024.</w:t>
            </w:r>
          </w:p>
        </w:tc>
      </w:tr>
    </w:tbl>
    <w:p>
      <w:r>
        <w:t>Coverage note. The search was executed over the connected public Zoran corpus mirror and public dated web traces. It is exhaustive with respect to the named query families on that connected surface, not a claim that every unpublished or inaccessible historical file has been inspected.</w:t>
      </w:r>
    </w:p>
    <w:p>
      <w:pPr>
        <w:pStyle w:val="Heading2"/>
        <w:keepNext/>
        <w:keepLines/>
      </w:pPr>
      <w:r>
        <w:t>20.2 Pre-20-February-2026 Zoran antecedent registry</w:t>
      </w:r>
    </w:p>
    <w:tbl>
      <w:tblPr>
        <w:tblStyle w:val="TableGrid"/>
        <w:tblW w:type="auto" w:w="0"/>
        <w:jc w:val="center"/>
        <w:tblLayout w:type="autofit"/>
        <w:tblLook w:firstColumn="1" w:firstRow="1" w:lastColumn="0" w:lastRow="0" w:noHBand="0" w:noVBand="1" w:val="04A0"/>
      </w:tblPr>
      <w:tblGrid>
        <w:gridCol w:w="2437"/>
        <w:gridCol w:w="2437"/>
        <w:gridCol w:w="2437"/>
        <w:gridCol w:w="2437"/>
      </w:tblGrid>
      <w:tr>
        <w:trPr>
          <w:tblHeader w:val="true"/>
        </w:trPr>
        <w:tc>
          <w:tcPr>
            <w:tcW w:type="dxa" w:w="2437"/>
            <w:vAlign w:val="center"/>
            <w:tcMar>
              <w:top w:w="80" w:type="dxa"/>
              <w:start w:w="80" w:type="dxa"/>
              <w:bottom w:w="80" w:type="dxa"/>
              <w:end w:w="80" w:type="dxa"/>
            </w:tcMar>
          </w:tcPr>
          <w:p>
            <w:pPr>
              <w:spacing w:after="0"/>
            </w:pPr>
            <w:r>
              <w:rPr>
                <w:b/>
                <w:sz w:val="15"/>
              </w:rPr>
              <w:t>Artefact</w:t>
            </w:r>
          </w:p>
        </w:tc>
        <w:tc>
          <w:tcPr>
            <w:tcW w:type="dxa" w:w="2437"/>
            <w:vAlign w:val="center"/>
            <w:tcMar>
              <w:top w:w="80" w:type="dxa"/>
              <w:start w:w="80" w:type="dxa"/>
              <w:bottom w:w="80" w:type="dxa"/>
              <w:end w:w="80" w:type="dxa"/>
            </w:tcMar>
          </w:tcPr>
          <w:p>
            <w:pPr>
              <w:spacing w:after="0"/>
            </w:pPr>
            <w:r>
              <w:rPr>
                <w:b/>
                <w:sz w:val="15"/>
              </w:rPr>
              <w:t>Earliest date status used here</w:t>
            </w:r>
          </w:p>
        </w:tc>
        <w:tc>
          <w:tcPr>
            <w:tcW w:type="dxa" w:w="2437"/>
            <w:vAlign w:val="center"/>
            <w:tcMar>
              <w:top w:w="80" w:type="dxa"/>
              <w:start w:w="80" w:type="dxa"/>
              <w:bottom w:w="80" w:type="dxa"/>
              <w:end w:w="80" w:type="dxa"/>
            </w:tcMar>
          </w:tcPr>
          <w:p>
            <w:pPr>
              <w:spacing w:after="0"/>
            </w:pPr>
            <w:r>
              <w:rPr>
                <w:b/>
                <w:sz w:val="15"/>
              </w:rPr>
              <w:t>Relevant object</w:t>
            </w:r>
          </w:p>
        </w:tc>
        <w:tc>
          <w:tcPr>
            <w:tcW w:type="dxa" w:w="2437"/>
            <w:vAlign w:val="center"/>
            <w:tcMar>
              <w:top w:w="80" w:type="dxa"/>
              <w:start w:w="80" w:type="dxa"/>
              <w:bottom w:w="80" w:type="dxa"/>
              <w:end w:w="80" w:type="dxa"/>
            </w:tcMar>
          </w:tcPr>
          <w:p>
            <w:pPr>
              <w:spacing w:after="0"/>
            </w:pPr>
            <w:r>
              <w:rPr>
                <w:b/>
                <w:sz w:val="15"/>
              </w:rPr>
              <w:t>Priority effect</w:t>
            </w:r>
          </w:p>
        </w:tc>
      </w:tr>
      <w:tr>
        <w:tc>
          <w:tcPr>
            <w:tcW w:type="dxa" w:w="2437"/>
            <w:vAlign w:val="center"/>
            <w:tcMar>
              <w:top w:w="80" w:type="dxa"/>
              <w:start w:w="80" w:type="dxa"/>
              <w:bottom w:w="80" w:type="dxa"/>
              <w:end w:w="80" w:type="dxa"/>
            </w:tcMar>
          </w:tcPr>
          <w:p>
            <w:pPr>
              <w:spacing w:after="0"/>
            </w:pPr>
            <w:r>
              <w:rPr>
                <w:sz w:val="15"/>
              </w:rPr>
              <w:t>17522369 — Codex / Atlas Ω</w:t>
            </w:r>
          </w:p>
        </w:tc>
        <w:tc>
          <w:tcPr>
            <w:tcW w:type="dxa" w:w="2437"/>
            <w:vAlign w:val="center"/>
            <w:tcMar>
              <w:top w:w="80" w:type="dxa"/>
              <w:start w:w="80" w:type="dxa"/>
              <w:bottom w:w="80" w:type="dxa"/>
              <w:end w:w="80" w:type="dxa"/>
            </w:tcMar>
          </w:tcPr>
          <w:p>
            <w:pPr>
              <w:spacing w:after="0"/>
            </w:pPr>
            <w:r>
              <w:rPr>
                <w:sz w:val="15"/>
              </w:rPr>
              <w:t>Nov 2025 public Zoran line; internal artefact dated 4 Nov 2025</w:t>
            </w:r>
          </w:p>
        </w:tc>
        <w:tc>
          <w:tcPr>
            <w:tcW w:type="dxa" w:w="2437"/>
            <w:vAlign w:val="center"/>
            <w:tcMar>
              <w:top w:w="80" w:type="dxa"/>
              <w:start w:w="80" w:type="dxa"/>
              <w:bottom w:w="80" w:type="dxa"/>
              <w:end w:w="80" w:type="dxa"/>
            </w:tcMar>
          </w:tcPr>
          <w:p>
            <w:pPr>
              <w:spacing w:after="0"/>
            </w:pPr>
            <w:r>
              <w:rPr>
                <w:sz w:val="15"/>
              </w:rPr>
              <w:t>Fracto-Anticipation ΔF=f(t+ε)−f(t); trajectory-selection language around coherence / least action.</w:t>
            </w:r>
          </w:p>
        </w:tc>
        <w:tc>
          <w:tcPr>
            <w:tcW w:type="dxa" w:w="2437"/>
            <w:vAlign w:val="center"/>
            <w:tcMar>
              <w:top w:w="80" w:type="dxa"/>
              <w:start w:w="80" w:type="dxa"/>
              <w:bottom w:w="80" w:type="dxa"/>
              <w:end w:w="80" w:type="dxa"/>
            </w:tcMar>
          </w:tcPr>
          <w:p>
            <w:pPr>
              <w:spacing w:after="0"/>
            </w:pPr>
            <w:r>
              <w:rPr>
                <w:sz w:val="15"/>
              </w:rPr>
              <w:t>Temporal/trajectory antecedent; not path reachability.</w:t>
            </w:r>
          </w:p>
        </w:tc>
      </w:tr>
      <w:tr>
        <w:tc>
          <w:tcPr>
            <w:tcW w:type="dxa" w:w="2437"/>
            <w:vAlign w:val="center"/>
            <w:tcMar>
              <w:top w:w="80" w:type="dxa"/>
              <w:start w:w="80" w:type="dxa"/>
              <w:bottom w:w="80" w:type="dxa"/>
              <w:end w:w="80" w:type="dxa"/>
            </w:tcMar>
          </w:tcPr>
          <w:p>
            <w:pPr>
              <w:spacing w:after="0"/>
            </w:pPr>
            <w:r>
              <w:rPr>
                <w:sz w:val="15"/>
              </w:rPr>
              <w:t>17970269 — Law of Phenomenal Coherence Cφ + S</w:t>
            </w:r>
          </w:p>
        </w:tc>
        <w:tc>
          <w:tcPr>
            <w:tcW w:type="dxa" w:w="2437"/>
            <w:vAlign w:val="center"/>
            <w:tcMar>
              <w:top w:w="80" w:type="dxa"/>
              <w:start w:w="80" w:type="dxa"/>
              <w:bottom w:w="80" w:type="dxa"/>
              <w:end w:w="80" w:type="dxa"/>
            </w:tcMar>
          </w:tcPr>
          <w:p>
            <w:pPr>
              <w:spacing w:after="0"/>
            </w:pPr>
            <w:r>
              <w:rPr>
                <w:sz w:val="15"/>
              </w:rPr>
              <w:t>Publicly linked in Medium on 18 Dec 2025</w:t>
            </w:r>
          </w:p>
        </w:tc>
        <w:tc>
          <w:tcPr>
            <w:tcW w:type="dxa" w:w="2437"/>
            <w:vAlign w:val="center"/>
            <w:tcMar>
              <w:top w:w="80" w:type="dxa"/>
              <w:start w:w="80" w:type="dxa"/>
              <w:bottom w:w="80" w:type="dxa"/>
              <w:end w:w="80" w:type="dxa"/>
            </w:tcMar>
          </w:tcPr>
          <w:p>
            <w:pPr>
              <w:spacing w:after="0"/>
            </w:pPr>
            <w:r>
              <w:rPr>
                <w:sz w:val="15"/>
              </w:rPr>
              <w:t>Operant is qualified before interaction; Cφ measurement separated from predictive S.</w:t>
            </w:r>
          </w:p>
        </w:tc>
        <w:tc>
          <w:tcPr>
            <w:tcW w:type="dxa" w:w="2437"/>
            <w:vAlign w:val="center"/>
            <w:tcMar>
              <w:top w:w="80" w:type="dxa"/>
              <w:start w:w="80" w:type="dxa"/>
              <w:bottom w:w="80" w:type="dxa"/>
              <w:end w:w="80" w:type="dxa"/>
            </w:tcMar>
          </w:tcPr>
          <w:p>
            <w:pPr>
              <w:spacing w:after="0"/>
            </w:pPr>
            <w:r>
              <w:rPr>
                <w:sz w:val="15"/>
              </w:rPr>
              <w:t>Operant/operated architecture antecedent.</w:t>
            </w:r>
          </w:p>
        </w:tc>
      </w:tr>
      <w:tr>
        <w:tc>
          <w:tcPr>
            <w:tcW w:type="dxa" w:w="2437"/>
            <w:vAlign w:val="center"/>
            <w:tcMar>
              <w:top w:w="80" w:type="dxa"/>
              <w:start w:w="80" w:type="dxa"/>
              <w:bottom w:w="80" w:type="dxa"/>
              <w:end w:w="80" w:type="dxa"/>
            </w:tcMar>
          </w:tcPr>
          <w:p>
            <w:pPr>
              <w:spacing w:after="0"/>
            </w:pPr>
            <w:r>
              <w:rPr>
                <w:sz w:val="15"/>
              </w:rPr>
              <w:t>17977201 — consolidated CφΩ + LCCR</w:t>
            </w:r>
          </w:p>
        </w:tc>
        <w:tc>
          <w:tcPr>
            <w:tcW w:type="dxa" w:w="2437"/>
            <w:vAlign w:val="center"/>
            <w:tcMar>
              <w:top w:w="80" w:type="dxa"/>
              <w:start w:w="80" w:type="dxa"/>
              <w:bottom w:w="80" w:type="dxa"/>
              <w:end w:w="80" w:type="dxa"/>
            </w:tcMar>
          </w:tcPr>
          <w:p>
            <w:pPr>
              <w:spacing w:after="0"/>
            </w:pPr>
            <w:r>
              <w:rPr>
                <w:sz w:val="15"/>
              </w:rPr>
              <w:t>Publicly linked no later than 23 Dec 2025</w:t>
            </w:r>
          </w:p>
        </w:tc>
        <w:tc>
          <w:tcPr>
            <w:tcW w:type="dxa" w:w="2437"/>
            <w:vAlign w:val="center"/>
            <w:tcMar>
              <w:top w:w="80" w:type="dxa"/>
              <w:start w:w="80" w:type="dxa"/>
              <w:bottom w:w="80" w:type="dxa"/>
              <w:end w:w="80" w:type="dxa"/>
            </w:tcMar>
          </w:tcPr>
          <w:p>
            <w:pPr>
              <w:spacing w:after="0"/>
            </w:pPr>
            <w:r>
              <w:rPr>
                <w:sz w:val="15"/>
              </w:rPr>
              <w:t>Persistence iff measurable phenomenal distance from a reachable dissolution state Q; real future as coherent prolongation of the past.</w:t>
            </w:r>
          </w:p>
        </w:tc>
        <w:tc>
          <w:tcPr>
            <w:tcW w:type="dxa" w:w="2437"/>
            <w:vAlign w:val="center"/>
            <w:tcMar>
              <w:top w:w="80" w:type="dxa"/>
              <w:start w:w="80" w:type="dxa"/>
              <w:bottom w:w="80" w:type="dxa"/>
              <w:end w:w="80" w:type="dxa"/>
            </w:tcMar>
          </w:tcPr>
          <w:p>
            <w:pPr>
              <w:spacing w:after="0"/>
            </w:pPr>
            <w:r>
              <w:rPr>
                <w:sz w:val="15"/>
              </w:rPr>
              <w:t>Direct reachable-state + continuation antecedent.</w:t>
            </w:r>
          </w:p>
        </w:tc>
      </w:tr>
      <w:tr>
        <w:tc>
          <w:tcPr>
            <w:tcW w:type="dxa" w:w="2437"/>
            <w:vAlign w:val="center"/>
            <w:tcMar>
              <w:top w:w="80" w:type="dxa"/>
              <w:start w:w="80" w:type="dxa"/>
              <w:bottom w:w="80" w:type="dxa"/>
              <w:end w:w="80" w:type="dxa"/>
            </w:tcMar>
          </w:tcPr>
          <w:p>
            <w:pPr>
              <w:spacing w:after="0"/>
            </w:pPr>
            <w:r>
              <w:rPr>
                <w:sz w:val="15"/>
              </w:rPr>
              <w:t>18281177 — Transversal invariant of admissibility</w:t>
            </w:r>
          </w:p>
        </w:tc>
        <w:tc>
          <w:tcPr>
            <w:tcW w:type="dxa" w:w="2437"/>
            <w:vAlign w:val="center"/>
            <w:tcMar>
              <w:top w:w="80" w:type="dxa"/>
              <w:start w:w="80" w:type="dxa"/>
              <w:bottom w:w="80" w:type="dxa"/>
              <w:end w:w="80" w:type="dxa"/>
            </w:tcMar>
          </w:tcPr>
          <w:p>
            <w:pPr>
              <w:spacing w:after="0"/>
            </w:pPr>
            <w:r>
              <w:rPr>
                <w:sz w:val="15"/>
              </w:rPr>
              <w:t>Document self-date 17 Jan 2026; public record listed before Paton</w:t>
            </w:r>
          </w:p>
        </w:tc>
        <w:tc>
          <w:tcPr>
            <w:tcW w:type="dxa" w:w="2437"/>
            <w:vAlign w:val="center"/>
            <w:tcMar>
              <w:top w:w="80" w:type="dxa"/>
              <w:start w:w="80" w:type="dxa"/>
              <w:bottom w:w="80" w:type="dxa"/>
              <w:end w:w="80" w:type="dxa"/>
            </w:tcMar>
          </w:tcPr>
          <w:p>
            <w:pPr>
              <w:spacing w:after="0"/>
            </w:pPr>
            <w:r>
              <w:rPr>
                <w:sz w:val="15"/>
              </w:rPr>
              <w:t>Coherence constrains whether a descriptive trajectory can persist; global continuation fails at an admissibility boundary.</w:t>
            </w:r>
          </w:p>
        </w:tc>
        <w:tc>
          <w:tcPr>
            <w:tcW w:type="dxa" w:w="2437"/>
            <w:vAlign w:val="center"/>
            <w:tcMar>
              <w:top w:w="80" w:type="dxa"/>
              <w:start w:w="80" w:type="dxa"/>
              <w:bottom w:w="80" w:type="dxa"/>
              <w:end w:w="80" w:type="dxa"/>
            </w:tcMar>
          </w:tcPr>
          <w:p>
            <w:pPr>
              <w:spacing w:after="0"/>
            </w:pPr>
            <w:r>
              <w:rPr>
                <w:sz w:val="15"/>
              </w:rPr>
              <w:t>Trajectory/continuation formalism; no graph reachability operator.</w:t>
            </w:r>
          </w:p>
        </w:tc>
      </w:tr>
      <w:tr>
        <w:tc>
          <w:tcPr>
            <w:tcW w:type="dxa" w:w="2437"/>
            <w:vAlign w:val="center"/>
            <w:tcMar>
              <w:top w:w="80" w:type="dxa"/>
              <w:start w:w="80" w:type="dxa"/>
              <w:bottom w:w="80" w:type="dxa"/>
              <w:end w:w="80" w:type="dxa"/>
            </w:tcMar>
          </w:tcPr>
          <w:p>
            <w:pPr>
              <w:spacing w:after="0"/>
            </w:pPr>
            <w:r>
              <w:rPr>
                <w:sz w:val="15"/>
              </w:rPr>
              <w:t>18298889 — Admissible Futures</w:t>
            </w:r>
          </w:p>
        </w:tc>
        <w:tc>
          <w:tcPr>
            <w:tcW w:type="dxa" w:w="2437"/>
            <w:vAlign w:val="center"/>
            <w:tcMar>
              <w:top w:w="80" w:type="dxa"/>
              <w:start w:w="80" w:type="dxa"/>
              <w:bottom w:w="80" w:type="dxa"/>
              <w:end w:w="80" w:type="dxa"/>
            </w:tcMar>
          </w:tcPr>
          <w:p>
            <w:pPr>
              <w:spacing w:after="0"/>
            </w:pPr>
            <w:r>
              <w:rPr>
                <w:sz w:val="15"/>
              </w:rPr>
              <w:t>Publicly referenced in a Jan 2026 Medium article; also in 4 Feb 2026 corpus hub</w:t>
            </w:r>
          </w:p>
        </w:tc>
        <w:tc>
          <w:tcPr>
            <w:tcW w:type="dxa" w:w="2437"/>
            <w:vAlign w:val="center"/>
            <w:tcMar>
              <w:top w:w="80" w:type="dxa"/>
              <w:start w:w="80" w:type="dxa"/>
              <w:bottom w:w="80" w:type="dxa"/>
              <w:end w:w="80" w:type="dxa"/>
            </w:tcMar>
          </w:tcPr>
          <w:p>
            <w:pPr>
              <w:spacing w:after="0"/>
            </w:pPr>
            <w:r>
              <w:rPr>
                <w:sz w:val="15"/>
              </w:rPr>
              <w:t>Dedicated typology of admissible futures; trajectory maintainability defined by bounded compensation.</w:t>
            </w:r>
          </w:p>
        </w:tc>
        <w:tc>
          <w:tcPr>
            <w:tcW w:type="dxa" w:w="2437"/>
            <w:vAlign w:val="center"/>
            <w:tcMar>
              <w:top w:w="80" w:type="dxa"/>
              <w:start w:w="80" w:type="dxa"/>
              <w:bottom w:w="80" w:type="dxa"/>
              <w:end w:w="80" w:type="dxa"/>
            </w:tcMar>
          </w:tcPr>
          <w:p>
            <w:pPr>
              <w:spacing w:after="0"/>
            </w:pPr>
            <w:r>
              <w:rPr>
                <w:sz w:val="15"/>
              </w:rPr>
              <w:t>Strong future/trajectory antecedent.</w:t>
            </w:r>
          </w:p>
        </w:tc>
      </w:tr>
      <w:tr>
        <w:tc>
          <w:tcPr>
            <w:tcW w:type="dxa" w:w="2437"/>
            <w:vAlign w:val="center"/>
            <w:tcMar>
              <w:top w:w="80" w:type="dxa"/>
              <w:start w:w="80" w:type="dxa"/>
              <w:bottom w:w="80" w:type="dxa"/>
              <w:end w:w="80" w:type="dxa"/>
            </w:tcMar>
          </w:tcPr>
          <w:p>
            <w:pPr>
              <w:spacing w:after="0"/>
            </w:pPr>
            <w:r>
              <w:rPr>
                <w:sz w:val="15"/>
              </w:rPr>
              <w:t>18300022 / 18300445 — intelligence + engine</w:t>
            </w:r>
          </w:p>
        </w:tc>
        <w:tc>
          <w:tcPr>
            <w:tcW w:type="dxa" w:w="2437"/>
            <w:vAlign w:val="center"/>
            <w:tcMar>
              <w:top w:w="80" w:type="dxa"/>
              <w:start w:w="80" w:type="dxa"/>
              <w:bottom w:w="80" w:type="dxa"/>
              <w:end w:w="80" w:type="dxa"/>
            </w:tcMar>
          </w:tcPr>
          <w:p>
            <w:pPr>
              <w:spacing w:after="0"/>
            </w:pPr>
            <w:r>
              <w:rPr>
                <w:sz w:val="15"/>
              </w:rPr>
              <w:t>Publicly listed by 4 Feb 2026</w:t>
            </w:r>
          </w:p>
        </w:tc>
        <w:tc>
          <w:tcPr>
            <w:tcW w:type="dxa" w:w="2437"/>
            <w:vAlign w:val="center"/>
            <w:tcMar>
              <w:top w:w="80" w:type="dxa"/>
              <w:start w:w="80" w:type="dxa"/>
              <w:bottom w:w="80" w:type="dxa"/>
              <w:end w:w="80" w:type="dxa"/>
            </w:tcMar>
          </w:tcPr>
          <w:p>
            <w:pPr>
              <w:spacing w:after="0"/>
            </w:pPr>
            <w:r>
              <w:rPr>
                <w:sz w:val="15"/>
              </w:rPr>
              <w:t>S(t)=(β(t)ΔΦ(t))/(T(t)σ(t)); admissible if trend is stable/improving; executable time-series verdict.</w:t>
            </w:r>
          </w:p>
        </w:tc>
        <w:tc>
          <w:tcPr>
            <w:tcW w:type="dxa" w:w="2437"/>
            <w:vAlign w:val="center"/>
            <w:tcMar>
              <w:top w:w="80" w:type="dxa"/>
              <w:start w:w="80" w:type="dxa"/>
              <w:bottom w:w="80" w:type="dxa"/>
              <w:end w:w="80" w:type="dxa"/>
            </w:tcMar>
          </w:tcPr>
          <w:p>
            <w:pPr>
              <w:spacing w:after="0"/>
            </w:pPr>
            <w:r>
              <w:rPr>
                <w:sz w:val="15"/>
              </w:rPr>
              <w:t>Executable trajectory qualification antecedent.</w:t>
            </w:r>
          </w:p>
        </w:tc>
      </w:tr>
      <w:tr>
        <w:tc>
          <w:tcPr>
            <w:tcW w:type="dxa" w:w="2437"/>
            <w:vAlign w:val="center"/>
            <w:tcMar>
              <w:top w:w="80" w:type="dxa"/>
              <w:start w:w="80" w:type="dxa"/>
              <w:bottom w:w="80" w:type="dxa"/>
              <w:end w:w="80" w:type="dxa"/>
            </w:tcMar>
          </w:tcPr>
          <w:p>
            <w:pPr>
              <w:spacing w:after="0"/>
            </w:pPr>
            <w:r>
              <w:rPr>
                <w:sz w:val="15"/>
              </w:rPr>
              <w:t>18399075 / 18401972 — Coherence AI</w:t>
            </w:r>
          </w:p>
        </w:tc>
        <w:tc>
          <w:tcPr>
            <w:tcW w:type="dxa" w:w="2437"/>
            <w:vAlign w:val="center"/>
            <w:tcMar>
              <w:top w:w="80" w:type="dxa"/>
              <w:start w:w="80" w:type="dxa"/>
              <w:bottom w:w="80" w:type="dxa"/>
              <w:end w:w="80" w:type="dxa"/>
            </w:tcMar>
          </w:tcPr>
          <w:p>
            <w:pPr>
              <w:spacing w:after="0"/>
            </w:pPr>
            <w:r>
              <w:rPr>
                <w:sz w:val="15"/>
              </w:rPr>
              <w:t>Publicly listed 4 Feb 2026</w:t>
            </w:r>
          </w:p>
        </w:tc>
        <w:tc>
          <w:tcPr>
            <w:tcW w:type="dxa" w:w="2437"/>
            <w:vAlign w:val="center"/>
            <w:tcMar>
              <w:top w:w="80" w:type="dxa"/>
              <w:start w:w="80" w:type="dxa"/>
              <w:bottom w:w="80" w:type="dxa"/>
              <w:end w:w="80" w:type="dxa"/>
            </w:tcMar>
          </w:tcPr>
          <w:p>
            <w:pPr>
              <w:spacing w:after="0"/>
            </w:pPr>
            <w:r>
              <w:rPr>
                <w:sz w:val="15"/>
              </w:rPr>
              <w:t>Evaluates admissibility of systems, decisions, and trajectories; trajectory admissible iff it can persist without contradiction, structural compensation, or forced continuity.</w:t>
            </w:r>
          </w:p>
        </w:tc>
        <w:tc>
          <w:tcPr>
            <w:tcW w:type="dxa" w:w="2437"/>
            <w:vAlign w:val="center"/>
            <w:tcMar>
              <w:top w:w="80" w:type="dxa"/>
              <w:start w:w="80" w:type="dxa"/>
              <w:bottom w:w="80" w:type="dxa"/>
              <w:end w:w="80" w:type="dxa"/>
            </w:tcMar>
          </w:tcPr>
          <w:p>
            <w:pPr>
              <w:spacing w:after="0"/>
            </w:pPr>
            <w:r>
              <w:rPr>
                <w:sz w:val="15"/>
              </w:rPr>
              <w:t>Operational trajectory gate antecedent.</w:t>
            </w:r>
          </w:p>
        </w:tc>
      </w:tr>
    </w:tbl>
    <w:p>
      <w:pPr>
        <w:pStyle w:val="Heading1"/>
        <w:keepNext/>
        <w:keepLines/>
      </w:pPr>
      <w:r>
        <w:t>21. Certificate Z-PRE-RSTATE-001 — reachable state exists in pre-Paton Zoran</w:t>
      </w:r>
    </w:p>
    <w:p>
      <w:r>
        <w:t>The consolidated ZORANC CφΩ white paper (DOI 10.5281/zenodo.17977201) states:</w:t>
      </w:r>
    </w:p>
    <w:p>
      <w:pPr>
        <w:jc w:val="center"/>
      </w:pPr>
      <w:r>
        <w:rPr>
          <w:rFonts w:ascii="Cambria Math" w:hAnsi="Cambria Math"/>
          <w:b/>
          <w:sz w:val="25"/>
        </w:rPr>
        <w:t>Cφ = D_KL(P || Q)</w:t>
      </w:r>
    </w:p>
    <w:p>
      <w:r>
        <w:t>with P the observed state and Q a reachable dissolution state. The same document states that a system persists if and only if it maintains a measurable phenomenal distance from such a reachable state of dissolution.</w:t>
      </w:r>
    </w:p>
    <w:p>
      <w:pPr/>
      <w:r>
        <w:rPr>
          <w:b/>
        </w:rPr>
        <w:t xml:space="preserve">CERTIFICATE TYPE — </w:t>
      </w:r>
      <w:r>
        <w:t>C-X / historical antecedent certificate. “Reachable” is not merely commentary: it constrains what Q is allowed to denote. The state used by the law is required to belong to a reachable dissolution class.</w:t>
      </w:r>
    </w:p>
    <w:p>
      <w:pPr/>
      <w:r>
        <w:rPr>
          <w:b/>
        </w:rPr>
        <w:t xml:space="preserve">WHAT IS PROVED — </w:t>
      </w:r>
      <w:r>
        <w:t>A reachable-state condition inside the Zoran persistence architecture is publicly evidenced before 20 February 2026. Therefore a broad claim that Paton first introduced reachability into the Zoran-relevant persistence/admissibility problem is not sustainable.</w:t>
      </w:r>
    </w:p>
    <w:p>
      <w:pPr/>
      <w:r>
        <w:rPr>
          <w:b/>
        </w:rPr>
        <w:t xml:space="preserve">WHAT IS NOT PROVED — </w:t>
      </w:r>
      <w:r>
        <w:t>The Zoran document does not define an explicit binary relation Reachable(x₀,x), a transition graph, or an existential path quantifier. The operational test deciding whether Q is reachable is left unspecified in the recovered artefact.</w:t>
      </w:r>
    </w:p>
    <w:p>
      <w:pPr/>
      <w:r>
        <w:rPr>
          <w:b/>
        </w:rPr>
        <w:t xml:space="preserve">EARLIEST PUBLIC ANCHOR USED — </w:t>
      </w:r>
      <w:r>
        <w:t>The DOI is explicitly linked in a Medium publication dated 23 December 2025; a 24 December 2025 follow-up also cites it as “the future as a non-contradictory prolongation of the past”.</w:t>
      </w:r>
    </w:p>
    <w:p>
      <w:pPr>
        <w:pStyle w:val="Heading2"/>
        <w:keepNext/>
        <w:keepLines/>
      </w:pPr>
      <w:r>
        <w:t>21.1 Certificate Z-LCCR-CONT-001 — coherent continuation predates Paton</w:t>
      </w:r>
    </w:p>
    <w:p>
      <w:r>
        <w:t>The LCCR text attached to the same record defines a selection constraint rather than a differential dynamics: multiple futures may be conceivable, but the real future is the unique prolongation of the past that preserves phenomenal coherence. Its canonical verbal law is:</w:t>
      </w:r>
    </w:p>
    <w:p>
      <w:pPr>
        <w:jc w:val="center"/>
      </w:pPr>
      <w:r>
        <w:rPr>
          <w:rFonts w:ascii="Cambria Math" w:hAnsi="Cambria Math"/>
          <w:b/>
          <w:sz w:val="25"/>
        </w:rPr>
        <w:t>Real future = unique coherent prolongation of the past</w:t>
      </w:r>
    </w:p>
    <w:p>
      <w:pPr/>
      <w:r>
        <w:rPr>
          <w:b/>
        </w:rPr>
        <w:t xml:space="preserve">RELATION TO PATON — </w:t>
      </w:r>
      <w:r>
        <w:t>This is a genuine antecedent for constrained continuation and future admissibility, but it is not E0/E1-equivalent to Paton’s Continuation(s) ⇔ G(P(s))=1. LCCR states a selection principle; Paton exposes candidate generation P and gate G as abstract operators.</w:t>
      </w:r>
    </w:p>
    <w:p>
      <w:pPr/>
      <w:r>
        <w:rPr>
          <w:b/>
        </w:rPr>
        <w:t xml:space="preserve">PRIORITY EFFECT — </w:t>
      </w:r>
      <w:r>
        <w:t>Paton cannot be treated as first in the broad idea “continuation is conditional on admissibility/coherence” relative to Zoran. His formula can still have formula-level priority for its specific operator decomposition.</w:t>
      </w:r>
    </w:p>
    <w:p>
      <w:pPr>
        <w:pStyle w:val="Heading1"/>
        <w:keepNext/>
        <w:keepLines/>
      </w:pPr>
      <w:r>
        <w:t>22. Certificate Z-TRAJ-ENGINE-001 — executable trajectory admissibility predates Paton</w:t>
      </w:r>
    </w:p>
    <w:p>
      <w:r>
        <w:t>The pre-Paton Zoran intelligence/admissibility line makes the temporal object explicit:</w:t>
      </w:r>
    </w:p>
    <w:p>
      <w:pPr>
        <w:jc w:val="center"/>
      </w:pPr>
      <w:r>
        <w:rPr>
          <w:rFonts w:ascii="Cambria Math" w:hAnsi="Cambria Math"/>
          <w:b/>
          <w:sz w:val="25"/>
        </w:rPr>
        <w:t>S(t) = [β(t) · ΔΦ(t)] / [T(t) · σ(t)]</w:t>
      </w:r>
    </w:p>
    <w:p>
      <w:r>
        <w:t>The accompanying white paper states that a system is admissible when this gauge does not structurally decrease over time. The engine computes a series S, measures its trend, and emits ADMISSIBLE, CRITIQUE, or NON_ADMISSIBLE. This is not an endpoint-only gauge: it is an executable classifier over a temporal sequence.</w:t>
      </w:r>
    </w:p>
    <w:p>
      <w:pPr/>
      <w:r>
        <w:rPr>
          <w:b/>
        </w:rPr>
        <w:t xml:space="preserve">CODE-LEVEL FACT — </w:t>
      </w:r>
      <w:r>
        <w:t>engine.py maps data to β, ΔΦ, T and σ; computes S as a series; analyzes the slope/trend; and assigns ADMISSIBLE when the trend is STABLE_OR_IMPROVING.</w:t>
      </w:r>
    </w:p>
    <w:p>
      <w:pPr/>
      <w:r>
        <w:rPr>
          <w:b/>
        </w:rPr>
        <w:t xml:space="preserve">RELATION CLASS — </w:t>
      </w:r>
      <w:r>
        <w:t>E4 relative to Paton reachability. Zoran evaluates the quality/admissibility of an instantiated trajectory; Paton asks whether at least one permissible path exists between two states.</w:t>
      </w:r>
    </w:p>
    <w:p>
      <w:pPr>
        <w:pStyle w:val="Heading2"/>
        <w:keepNext/>
        <w:keepLines/>
      </w:pPr>
      <w:r>
        <w:t>22.1 Two countermodels — trajectory quality and path existence are independent</w:t>
      </w:r>
    </w:p>
    <w:p>
      <w:r>
        <w:t>Pass 4 adds two discriminating tests. They show why the newly recovered Zoran trajectory machinery narrows Paton’s novelty without collapsing the two objects into one.</w:t>
      </w:r>
    </w:p>
    <w:tbl>
      <w:tblPr>
        <w:tblStyle w:val="TableGrid"/>
        <w:tblW w:type="auto" w:w="0"/>
        <w:jc w:val="center"/>
        <w:tblLayout w:type="autofit"/>
        <w:tblLook w:firstColumn="1" w:firstRow="1" w:lastColumn="0" w:lastRow="0" w:noHBand="0" w:noVBand="1" w:val="04A0"/>
      </w:tblPr>
      <w:tblGrid>
        <w:gridCol w:w="1950"/>
        <w:gridCol w:w="1950"/>
        <w:gridCol w:w="1950"/>
        <w:gridCol w:w="1950"/>
        <w:gridCol w:w="1950"/>
      </w:tblGrid>
      <w:tr>
        <w:trPr>
          <w:tblHeader w:val="true"/>
        </w:trPr>
        <w:tc>
          <w:tcPr>
            <w:tcW w:type="dxa" w:w="1950"/>
            <w:vAlign w:val="center"/>
            <w:tcMar>
              <w:top w:w="80" w:type="dxa"/>
              <w:start w:w="80" w:type="dxa"/>
              <w:bottom w:w="80" w:type="dxa"/>
              <w:end w:w="80" w:type="dxa"/>
            </w:tcMar>
          </w:tcPr>
          <w:p>
            <w:pPr>
              <w:spacing w:after="0"/>
            </w:pPr>
            <w:r>
              <w:rPr>
                <w:b/>
                <w:sz w:val="15"/>
              </w:rPr>
              <w:t>Test</w:t>
            </w:r>
          </w:p>
        </w:tc>
        <w:tc>
          <w:tcPr>
            <w:tcW w:type="dxa" w:w="1950"/>
            <w:vAlign w:val="center"/>
            <w:tcMar>
              <w:top w:w="80" w:type="dxa"/>
              <w:start w:w="80" w:type="dxa"/>
              <w:bottom w:w="80" w:type="dxa"/>
              <w:end w:w="80" w:type="dxa"/>
            </w:tcMar>
          </w:tcPr>
          <w:p>
            <w:pPr>
              <w:spacing w:after="0"/>
            </w:pPr>
            <w:r>
              <w:rPr>
                <w:b/>
                <w:sz w:val="15"/>
              </w:rPr>
              <w:t>Zoran input</w:t>
            </w:r>
          </w:p>
        </w:tc>
        <w:tc>
          <w:tcPr>
            <w:tcW w:type="dxa" w:w="1950"/>
            <w:vAlign w:val="center"/>
            <w:tcMar>
              <w:top w:w="80" w:type="dxa"/>
              <w:start w:w="80" w:type="dxa"/>
              <w:bottom w:w="80" w:type="dxa"/>
              <w:end w:w="80" w:type="dxa"/>
            </w:tcMar>
          </w:tcPr>
          <w:p>
            <w:pPr>
              <w:spacing w:after="0"/>
            </w:pPr>
            <w:r>
              <w:rPr>
                <w:b/>
                <w:sz w:val="15"/>
              </w:rPr>
              <w:t>Transition condition</w:t>
            </w:r>
          </w:p>
        </w:tc>
        <w:tc>
          <w:tcPr>
            <w:tcW w:type="dxa" w:w="1950"/>
            <w:vAlign w:val="center"/>
            <w:tcMar>
              <w:top w:w="80" w:type="dxa"/>
              <w:start w:w="80" w:type="dxa"/>
              <w:bottom w:w="80" w:type="dxa"/>
              <w:end w:w="80" w:type="dxa"/>
            </w:tcMar>
          </w:tcPr>
          <w:p>
            <w:pPr>
              <w:spacing w:after="0"/>
            </w:pPr>
            <w:r>
              <w:rPr>
                <w:b/>
                <w:sz w:val="15"/>
              </w:rPr>
              <w:t>Observed outputs</w:t>
            </w:r>
          </w:p>
        </w:tc>
        <w:tc>
          <w:tcPr>
            <w:tcW w:type="dxa" w:w="1950"/>
            <w:vAlign w:val="center"/>
            <w:tcMar>
              <w:top w:w="80" w:type="dxa"/>
              <w:start w:w="80" w:type="dxa"/>
              <w:bottom w:w="80" w:type="dxa"/>
              <w:end w:w="80" w:type="dxa"/>
            </w:tcMar>
          </w:tcPr>
          <w:p>
            <w:pPr>
              <w:spacing w:after="0"/>
            </w:pPr>
            <w:r>
              <w:rPr>
                <w:b/>
                <w:sz w:val="15"/>
              </w:rPr>
              <w:t>Conclusion</w:t>
            </w:r>
          </w:p>
        </w:tc>
      </w:tr>
      <w:tr>
        <w:tc>
          <w:tcPr>
            <w:tcW w:type="dxa" w:w="1950"/>
            <w:vAlign w:val="center"/>
            <w:tcMar>
              <w:top w:w="80" w:type="dxa"/>
              <w:start w:w="80" w:type="dxa"/>
              <w:bottom w:w="80" w:type="dxa"/>
              <w:end w:w="80" w:type="dxa"/>
            </w:tcMar>
          </w:tcPr>
          <w:p>
            <w:pPr>
              <w:spacing w:after="0"/>
            </w:pPr>
            <w:r>
              <w:rPr>
                <w:sz w:val="15"/>
              </w:rPr>
              <w:t>CM-1: same Zoran series, different topology</w:t>
            </w:r>
          </w:p>
        </w:tc>
        <w:tc>
          <w:tcPr>
            <w:tcW w:type="dxa" w:w="1950"/>
            <w:vAlign w:val="center"/>
            <w:tcMar>
              <w:top w:w="80" w:type="dxa"/>
              <w:start w:w="80" w:type="dxa"/>
              <w:bottom w:w="80" w:type="dxa"/>
              <w:end w:w="80" w:type="dxa"/>
            </w:tcMar>
          </w:tcPr>
          <w:p>
            <w:pPr>
              <w:spacing w:after="0"/>
            </w:pPr>
            <w:r>
              <w:rPr>
                <w:sz w:val="15"/>
              </w:rPr>
              <w:t>S=[1.1,1.2,1.3] in A and B; slope ≈ +0.10 in both</w:t>
            </w:r>
          </w:p>
        </w:tc>
        <w:tc>
          <w:tcPr>
            <w:tcW w:type="dxa" w:w="1950"/>
            <w:vAlign w:val="center"/>
            <w:tcMar>
              <w:top w:w="80" w:type="dxa"/>
              <w:start w:w="80" w:type="dxa"/>
              <w:bottom w:w="80" w:type="dxa"/>
              <w:end w:w="80" w:type="dxa"/>
            </w:tcMar>
          </w:tcPr>
          <w:p>
            <w:pPr>
              <w:spacing w:after="0"/>
            </w:pPr>
            <w:r>
              <w:rPr>
                <w:sz w:val="15"/>
              </w:rPr>
              <w:t>A has x₀→x₁→x₂; B lacks x₁→x₂</w:t>
            </w:r>
          </w:p>
        </w:tc>
        <w:tc>
          <w:tcPr>
            <w:tcW w:type="dxa" w:w="1950"/>
            <w:vAlign w:val="center"/>
            <w:tcMar>
              <w:top w:w="80" w:type="dxa"/>
              <w:start w:w="80" w:type="dxa"/>
              <w:bottom w:w="80" w:type="dxa"/>
              <w:end w:w="80" w:type="dxa"/>
            </w:tcMar>
          </w:tcPr>
          <w:p>
            <w:pPr>
              <w:spacing w:after="0"/>
            </w:pPr>
            <w:r>
              <w:rPr>
                <w:sz w:val="15"/>
              </w:rPr>
              <w:t>Zoran trend: ADMISSIBLE in both; Reachable_A=1, Reachable_B=0</w:t>
            </w:r>
          </w:p>
        </w:tc>
        <w:tc>
          <w:tcPr>
            <w:tcW w:type="dxa" w:w="1950"/>
            <w:vAlign w:val="center"/>
            <w:tcMar>
              <w:top w:w="80" w:type="dxa"/>
              <w:start w:w="80" w:type="dxa"/>
              <w:bottom w:w="80" w:type="dxa"/>
              <w:end w:w="80" w:type="dxa"/>
            </w:tcMar>
          </w:tcPr>
          <w:p>
            <w:pPr>
              <w:spacing w:after="0"/>
            </w:pPr>
            <w:r>
              <w:rPr>
                <w:sz w:val="15"/>
              </w:rPr>
              <w:t>Zoran trajectory score/trend does not determine path existence.</w:t>
            </w:r>
          </w:p>
        </w:tc>
      </w:tr>
      <w:tr>
        <w:tc>
          <w:tcPr>
            <w:tcW w:type="dxa" w:w="1950"/>
            <w:vAlign w:val="center"/>
            <w:tcMar>
              <w:top w:w="80" w:type="dxa"/>
              <w:start w:w="80" w:type="dxa"/>
              <w:bottom w:w="80" w:type="dxa"/>
              <w:end w:w="80" w:type="dxa"/>
            </w:tcMar>
          </w:tcPr>
          <w:p>
            <w:pPr>
              <w:spacing w:after="0"/>
            </w:pPr>
            <w:r>
              <w:rPr>
                <w:sz w:val="15"/>
              </w:rPr>
              <w:t>CM-2: same reachability, different Zoran trend</w:t>
            </w:r>
          </w:p>
        </w:tc>
        <w:tc>
          <w:tcPr>
            <w:tcW w:type="dxa" w:w="1950"/>
            <w:vAlign w:val="center"/>
            <w:tcMar>
              <w:top w:w="80" w:type="dxa"/>
              <w:start w:w="80" w:type="dxa"/>
              <w:bottom w:w="80" w:type="dxa"/>
              <w:end w:w="80" w:type="dxa"/>
            </w:tcMar>
          </w:tcPr>
          <w:p>
            <w:pPr>
              <w:spacing w:after="0"/>
            </w:pPr>
            <w:r>
              <w:rPr>
                <w:sz w:val="15"/>
              </w:rPr>
              <w:t>Both graphs have x₀→x₁→x₂</w:t>
            </w:r>
          </w:p>
        </w:tc>
        <w:tc>
          <w:tcPr>
            <w:tcW w:type="dxa" w:w="1950"/>
            <w:vAlign w:val="center"/>
            <w:tcMar>
              <w:top w:w="80" w:type="dxa"/>
              <w:start w:w="80" w:type="dxa"/>
              <w:bottom w:w="80" w:type="dxa"/>
              <w:end w:w="80" w:type="dxa"/>
            </w:tcMar>
          </w:tcPr>
          <w:p>
            <w:pPr>
              <w:spacing w:after="0"/>
            </w:pPr>
            <w:r>
              <w:rPr>
                <w:sz w:val="15"/>
              </w:rPr>
              <w:t>Series A=[1.1,1.2,1.3]; series B=[1.3,1.2,1.1]</w:t>
            </w:r>
          </w:p>
        </w:tc>
        <w:tc>
          <w:tcPr>
            <w:tcW w:type="dxa" w:w="1950"/>
            <w:vAlign w:val="center"/>
            <w:tcMar>
              <w:top w:w="80" w:type="dxa"/>
              <w:start w:w="80" w:type="dxa"/>
              <w:bottom w:w="80" w:type="dxa"/>
              <w:end w:w="80" w:type="dxa"/>
            </w:tcMar>
          </w:tcPr>
          <w:p>
            <w:pPr>
              <w:spacing w:after="0"/>
            </w:pPr>
            <w:r>
              <w:rPr>
                <w:sz w:val="15"/>
              </w:rPr>
              <w:t>Reachable=1 for both; Zoran A ADMISSIBLE, B NON_ADMISSIBLE</w:t>
            </w:r>
          </w:p>
        </w:tc>
        <w:tc>
          <w:tcPr>
            <w:tcW w:type="dxa" w:w="1950"/>
            <w:vAlign w:val="center"/>
            <w:tcMar>
              <w:top w:w="80" w:type="dxa"/>
              <w:start w:w="80" w:type="dxa"/>
              <w:bottom w:w="80" w:type="dxa"/>
              <w:end w:w="80" w:type="dxa"/>
            </w:tcMar>
          </w:tcPr>
          <w:p>
            <w:pPr>
              <w:spacing w:after="0"/>
            </w:pPr>
            <w:r>
              <w:rPr>
                <w:sz w:val="15"/>
              </w:rPr>
              <w:t>Path existence does not determine coherence trajectory quality.</w:t>
            </w:r>
          </w:p>
        </w:tc>
      </w:tr>
    </w:tbl>
    <w:p>
      <w:r>
        <w:t>The numerical slopes above were replayed in Pass 4 with a least-squares linear trend: +0.10 for the improving sequence and −0.10 for the declining sequence. The topology test used a minimal depth-first reachability check. These tests are audit countermodels, not historical algorithms claimed by either author.</w:t>
      </w:r>
    </w:p>
    <w:p>
      <w:pPr>
        <w:pStyle w:val="Heading2"/>
        <w:keepNext/>
        <w:keepLines/>
      </w:pPr>
      <w:r>
        <w:t>22.2 Four mathematical levels that must no longer be conflated</w:t>
      </w:r>
    </w:p>
    <w:tbl>
      <w:tblPr>
        <w:tblStyle w:val="TableGrid"/>
        <w:tblW w:type="auto" w:w="0"/>
        <w:jc w:val="center"/>
        <w:tblLayout w:type="autofit"/>
        <w:tblLook w:firstColumn="1" w:firstRow="1" w:lastColumn="0" w:lastRow="0" w:noHBand="0" w:noVBand="1" w:val="04A0"/>
      </w:tblPr>
      <w:tblGrid>
        <w:gridCol w:w="2437"/>
        <w:gridCol w:w="2437"/>
        <w:gridCol w:w="2437"/>
        <w:gridCol w:w="2437"/>
      </w:tblGrid>
      <w:tr>
        <w:trPr>
          <w:tblHeader w:val="true"/>
        </w:trPr>
        <w:tc>
          <w:tcPr>
            <w:tcW w:type="dxa" w:w="2437"/>
            <w:vAlign w:val="center"/>
            <w:tcMar>
              <w:top w:w="80" w:type="dxa"/>
              <w:start w:w="80" w:type="dxa"/>
              <w:bottom w:w="80" w:type="dxa"/>
              <w:end w:w="80" w:type="dxa"/>
            </w:tcMar>
          </w:tcPr>
          <w:p>
            <w:pPr>
              <w:spacing w:after="0"/>
            </w:pPr>
            <w:r>
              <w:rPr>
                <w:b/>
                <w:sz w:val="16"/>
              </w:rPr>
              <w:t>Level</w:t>
            </w:r>
          </w:p>
        </w:tc>
        <w:tc>
          <w:tcPr>
            <w:tcW w:type="dxa" w:w="2437"/>
            <w:vAlign w:val="center"/>
            <w:tcMar>
              <w:top w:w="80" w:type="dxa"/>
              <w:start w:w="80" w:type="dxa"/>
              <w:bottom w:w="80" w:type="dxa"/>
              <w:end w:w="80" w:type="dxa"/>
            </w:tcMar>
          </w:tcPr>
          <w:p>
            <w:pPr>
              <w:spacing w:after="0"/>
            </w:pPr>
            <w:r>
              <w:rPr>
                <w:b/>
                <w:sz w:val="16"/>
              </w:rPr>
              <w:t>Object</w:t>
            </w:r>
          </w:p>
        </w:tc>
        <w:tc>
          <w:tcPr>
            <w:tcW w:type="dxa" w:w="2437"/>
            <w:vAlign w:val="center"/>
            <w:tcMar>
              <w:top w:w="80" w:type="dxa"/>
              <w:start w:w="80" w:type="dxa"/>
              <w:bottom w:w="80" w:type="dxa"/>
              <w:end w:w="80" w:type="dxa"/>
            </w:tcMar>
          </w:tcPr>
          <w:p>
            <w:pPr>
              <w:spacing w:after="0"/>
            </w:pPr>
            <w:r>
              <w:rPr>
                <w:b/>
                <w:sz w:val="16"/>
              </w:rPr>
              <w:t>Information carried</w:t>
            </w:r>
          </w:p>
        </w:tc>
        <w:tc>
          <w:tcPr>
            <w:tcW w:type="dxa" w:w="2437"/>
            <w:vAlign w:val="center"/>
            <w:tcMar>
              <w:top w:w="80" w:type="dxa"/>
              <w:start w:w="80" w:type="dxa"/>
              <w:bottom w:w="80" w:type="dxa"/>
              <w:end w:w="80" w:type="dxa"/>
            </w:tcMar>
          </w:tcPr>
          <w:p>
            <w:pPr>
              <w:spacing w:after="0"/>
            </w:pPr>
            <w:r>
              <w:rPr>
                <w:b/>
                <w:sz w:val="16"/>
              </w:rPr>
              <w:t>Missing information</w:t>
            </w:r>
          </w:p>
        </w:tc>
      </w:tr>
      <w:tr>
        <w:tc>
          <w:tcPr>
            <w:tcW w:type="dxa" w:w="2437"/>
            <w:vAlign w:val="center"/>
            <w:tcMar>
              <w:top w:w="80" w:type="dxa"/>
              <w:start w:w="80" w:type="dxa"/>
              <w:bottom w:w="80" w:type="dxa"/>
              <w:end w:w="80" w:type="dxa"/>
            </w:tcMar>
          </w:tcPr>
          <w:p>
            <w:pPr>
              <w:spacing w:after="0"/>
            </w:pPr>
            <w:r>
              <w:rPr>
                <w:sz w:val="16"/>
              </w:rPr>
              <w:t>L0 — endpoint gauge</w:t>
            </w:r>
          </w:p>
        </w:tc>
        <w:tc>
          <w:tcPr>
            <w:tcW w:type="dxa" w:w="2437"/>
            <w:vAlign w:val="center"/>
            <w:tcMar>
              <w:top w:w="80" w:type="dxa"/>
              <w:start w:w="80" w:type="dxa"/>
              <w:bottom w:w="80" w:type="dxa"/>
              <w:end w:w="80" w:type="dxa"/>
            </w:tcMar>
          </w:tcPr>
          <w:p>
            <w:pPr>
              <w:spacing w:after="0"/>
            </w:pPr>
            <w:r>
              <w:rPr>
                <w:sz w:val="16"/>
              </w:rPr>
              <w:t>S(x)</w:t>
            </w:r>
          </w:p>
        </w:tc>
        <w:tc>
          <w:tcPr>
            <w:tcW w:type="dxa" w:w="2437"/>
            <w:vAlign w:val="center"/>
            <w:tcMar>
              <w:top w:w="80" w:type="dxa"/>
              <w:start w:w="80" w:type="dxa"/>
              <w:bottom w:w="80" w:type="dxa"/>
              <w:end w:w="80" w:type="dxa"/>
            </w:tcMar>
          </w:tcPr>
          <w:p>
            <w:pPr>
              <w:spacing w:after="0"/>
            </w:pPr>
            <w:r>
              <w:rPr>
                <w:sz w:val="16"/>
              </w:rPr>
              <w:t>Grades a state under declared operands/frames.</w:t>
            </w:r>
          </w:p>
        </w:tc>
        <w:tc>
          <w:tcPr>
            <w:tcW w:type="dxa" w:w="2437"/>
            <w:vAlign w:val="center"/>
            <w:tcMar>
              <w:top w:w="80" w:type="dxa"/>
              <w:start w:w="80" w:type="dxa"/>
              <w:bottom w:w="80" w:type="dxa"/>
              <w:end w:w="80" w:type="dxa"/>
            </w:tcMar>
          </w:tcPr>
          <w:p>
            <w:pPr>
              <w:spacing w:after="0"/>
            </w:pPr>
            <w:r>
              <w:rPr>
                <w:sz w:val="16"/>
              </w:rPr>
              <w:t>Does not encode path topology.</w:t>
            </w:r>
          </w:p>
        </w:tc>
      </w:tr>
      <w:tr>
        <w:tc>
          <w:tcPr>
            <w:tcW w:type="dxa" w:w="2437"/>
            <w:vAlign w:val="center"/>
            <w:tcMar>
              <w:top w:w="80" w:type="dxa"/>
              <w:start w:w="80" w:type="dxa"/>
              <w:bottom w:w="80" w:type="dxa"/>
              <w:end w:w="80" w:type="dxa"/>
            </w:tcMar>
          </w:tcPr>
          <w:p>
            <w:pPr>
              <w:spacing w:after="0"/>
            </w:pPr>
            <w:r>
              <w:rPr>
                <w:sz w:val="16"/>
              </w:rPr>
              <w:t>L1 — temporal trajectory qualification</w:t>
            </w:r>
          </w:p>
        </w:tc>
        <w:tc>
          <w:tcPr>
            <w:tcW w:type="dxa" w:w="2437"/>
            <w:vAlign w:val="center"/>
            <w:tcMar>
              <w:top w:w="80" w:type="dxa"/>
              <w:start w:w="80" w:type="dxa"/>
              <w:bottom w:w="80" w:type="dxa"/>
              <w:end w:w="80" w:type="dxa"/>
            </w:tcMar>
          </w:tcPr>
          <w:p>
            <w:pPr>
              <w:spacing w:after="0"/>
            </w:pPr>
            <w:r>
              <w:rPr>
                <w:sz w:val="16"/>
              </w:rPr>
              <w:t>A_Z(τ) from S(t), trend, debt/compensation</w:t>
            </w:r>
          </w:p>
        </w:tc>
        <w:tc>
          <w:tcPr>
            <w:tcW w:type="dxa" w:w="2437"/>
            <w:vAlign w:val="center"/>
            <w:tcMar>
              <w:top w:w="80" w:type="dxa"/>
              <w:start w:w="80" w:type="dxa"/>
              <w:bottom w:w="80" w:type="dxa"/>
              <w:end w:w="80" w:type="dxa"/>
            </w:tcMar>
          </w:tcPr>
          <w:p>
            <w:pPr>
              <w:spacing w:after="0"/>
            </w:pPr>
            <w:r>
              <w:rPr>
                <w:sz w:val="16"/>
              </w:rPr>
              <w:t>Grades an instantiated temporal path.</w:t>
            </w:r>
          </w:p>
        </w:tc>
        <w:tc>
          <w:tcPr>
            <w:tcW w:type="dxa" w:w="2437"/>
            <w:vAlign w:val="center"/>
            <w:tcMar>
              <w:top w:w="80" w:type="dxa"/>
              <w:start w:w="80" w:type="dxa"/>
              <w:bottom w:w="80" w:type="dxa"/>
              <w:end w:w="80" w:type="dxa"/>
            </w:tcMar>
          </w:tcPr>
          <w:p>
            <w:pPr>
              <w:spacing w:after="0"/>
            </w:pPr>
            <w:r>
              <w:rPr>
                <w:sz w:val="16"/>
              </w:rPr>
              <w:t>Does not prove that the path is reachable from x₀ in a transition system.</w:t>
            </w:r>
          </w:p>
        </w:tc>
      </w:tr>
      <w:tr>
        <w:tc>
          <w:tcPr>
            <w:tcW w:type="dxa" w:w="2437"/>
            <w:vAlign w:val="center"/>
            <w:tcMar>
              <w:top w:w="80" w:type="dxa"/>
              <w:start w:w="80" w:type="dxa"/>
              <w:bottom w:w="80" w:type="dxa"/>
              <w:end w:w="80" w:type="dxa"/>
            </w:tcMar>
          </w:tcPr>
          <w:p>
            <w:pPr>
              <w:spacing w:after="0"/>
            </w:pPr>
            <w:r>
              <w:rPr>
                <w:sz w:val="16"/>
              </w:rPr>
              <w:t>L2 — reachable reference state</w:t>
            </w:r>
          </w:p>
        </w:tc>
        <w:tc>
          <w:tcPr>
            <w:tcW w:type="dxa" w:w="2437"/>
            <w:vAlign w:val="center"/>
            <w:tcMar>
              <w:top w:w="80" w:type="dxa"/>
              <w:start w:w="80" w:type="dxa"/>
              <w:bottom w:w="80" w:type="dxa"/>
              <w:end w:w="80" w:type="dxa"/>
            </w:tcMar>
          </w:tcPr>
          <w:p>
            <w:pPr>
              <w:spacing w:after="0"/>
            </w:pPr>
            <w:r>
              <w:rPr>
                <w:sz w:val="16"/>
              </w:rPr>
              <w:t>Q ∈ R_dissolution(P) in Cφ usage</w:t>
            </w:r>
          </w:p>
        </w:tc>
        <w:tc>
          <w:tcPr>
            <w:tcW w:type="dxa" w:w="2437"/>
            <w:vAlign w:val="center"/>
            <w:tcMar>
              <w:top w:w="80" w:type="dxa"/>
              <w:start w:w="80" w:type="dxa"/>
              <w:bottom w:w="80" w:type="dxa"/>
              <w:end w:w="80" w:type="dxa"/>
            </w:tcMar>
          </w:tcPr>
          <w:p>
            <w:pPr>
              <w:spacing w:after="0"/>
            </w:pPr>
            <w:r>
              <w:rPr>
                <w:sz w:val="16"/>
              </w:rPr>
              <w:t>Restricts the reference state to one characterized as reachable.</w:t>
            </w:r>
          </w:p>
        </w:tc>
        <w:tc>
          <w:tcPr>
            <w:tcW w:type="dxa" w:w="2437"/>
            <w:vAlign w:val="center"/>
            <w:tcMar>
              <w:top w:w="80" w:type="dxa"/>
              <w:start w:w="80" w:type="dxa"/>
              <w:bottom w:w="80" w:type="dxa"/>
              <w:end w:w="80" w:type="dxa"/>
            </w:tcMar>
          </w:tcPr>
          <w:p>
            <w:pPr>
              <w:spacing w:after="0"/>
            </w:pPr>
            <w:r>
              <w:rPr>
                <w:sz w:val="16"/>
              </w:rPr>
              <w:t>Recovered text does not expose the relation/algorithm constructing R.</w:t>
            </w:r>
          </w:p>
        </w:tc>
      </w:tr>
      <w:tr>
        <w:tc>
          <w:tcPr>
            <w:tcW w:type="dxa" w:w="2437"/>
            <w:vAlign w:val="center"/>
            <w:tcMar>
              <w:top w:w="80" w:type="dxa"/>
              <w:start w:w="80" w:type="dxa"/>
              <w:bottom w:w="80" w:type="dxa"/>
              <w:end w:w="80" w:type="dxa"/>
            </w:tcMar>
          </w:tcPr>
          <w:p>
            <w:pPr>
              <w:spacing w:after="0"/>
            </w:pPr>
            <w:r>
              <w:rPr>
                <w:sz w:val="16"/>
              </w:rPr>
              <w:t>L3 — existential path reachability</w:t>
            </w:r>
          </w:p>
        </w:tc>
        <w:tc>
          <w:tcPr>
            <w:tcW w:type="dxa" w:w="2437"/>
            <w:vAlign w:val="center"/>
            <w:tcMar>
              <w:top w:w="80" w:type="dxa"/>
              <w:start w:w="80" w:type="dxa"/>
              <w:bottom w:w="80" w:type="dxa"/>
              <w:end w:w="80" w:type="dxa"/>
            </w:tcMar>
          </w:tcPr>
          <w:p>
            <w:pPr>
              <w:spacing w:after="0"/>
            </w:pPr>
            <w:r>
              <w:rPr>
                <w:sz w:val="16"/>
              </w:rPr>
              <w:t>Reachable(x₀,x) ⇔ ∃ path p from x₀ to x satisfying transition rules</w:t>
            </w:r>
          </w:p>
        </w:tc>
        <w:tc>
          <w:tcPr>
            <w:tcW w:type="dxa" w:w="2437"/>
            <w:vAlign w:val="center"/>
            <w:tcMar>
              <w:top w:w="80" w:type="dxa"/>
              <w:start w:w="80" w:type="dxa"/>
              <w:bottom w:w="80" w:type="dxa"/>
              <w:end w:w="80" w:type="dxa"/>
            </w:tcMar>
          </w:tcPr>
          <w:p>
            <w:pPr>
              <w:spacing w:after="0"/>
            </w:pPr>
            <w:r>
              <w:rPr>
                <w:sz w:val="16"/>
              </w:rPr>
              <w:t>Answers whether at least one permissible path exists.</w:t>
            </w:r>
          </w:p>
        </w:tc>
        <w:tc>
          <w:tcPr>
            <w:tcW w:type="dxa" w:w="2437"/>
            <w:vAlign w:val="center"/>
            <w:tcMar>
              <w:top w:w="80" w:type="dxa"/>
              <w:start w:w="80" w:type="dxa"/>
              <w:bottom w:w="80" w:type="dxa"/>
              <w:end w:w="80" w:type="dxa"/>
            </w:tcMar>
          </w:tcPr>
          <w:p>
            <w:pPr>
              <w:spacing w:after="0"/>
            </w:pPr>
            <w:r>
              <w:rPr>
                <w:sz w:val="16"/>
              </w:rPr>
              <w:t>Does not grade coherence quality of that path unless an additional criterion is supplied.</w:t>
            </w:r>
          </w:p>
        </w:tc>
      </w:tr>
    </w:tbl>
    <w:p>
      <w:pPr>
        <w:pStyle w:val="Heading1"/>
        <w:keepNext/>
        <w:keepLines/>
      </w:pPr>
      <w:r>
        <w:t>23. Revised Paton priority certificate after Pass 4</w:t>
      </w:r>
    </w:p>
    <w:p>
      <w:r>
        <w:t>Pass 3 classified Paton reachability as a genuine delta relative to endpoint S and left historical Zoran antecedence open. Pass 4 changes that verdict as follows:</w:t>
      </w:r>
    </w:p>
    <w:tbl>
      <w:tblPr>
        <w:tblStyle w:val="TableGrid"/>
        <w:tblW w:type="auto" w:w="0"/>
        <w:jc w:val="center"/>
        <w:tblLayout w:type="autofit"/>
        <w:tblLook w:firstColumn="1" w:firstRow="1" w:lastColumn="0" w:lastRow="0" w:noHBand="0" w:noVBand="1" w:val="04A0"/>
      </w:tblPr>
      <w:tblGrid>
        <w:gridCol w:w="2437"/>
        <w:gridCol w:w="2437"/>
        <w:gridCol w:w="2437"/>
        <w:gridCol w:w="2437"/>
      </w:tblGrid>
      <w:tr>
        <w:trPr>
          <w:tblHeader w:val="true"/>
        </w:trPr>
        <w:tc>
          <w:tcPr>
            <w:tcW w:type="dxa" w:w="2437"/>
            <w:vAlign w:val="center"/>
            <w:tcMar>
              <w:top w:w="80" w:type="dxa"/>
              <w:start w:w="80" w:type="dxa"/>
              <w:bottom w:w="80" w:type="dxa"/>
              <w:end w:w="80" w:type="dxa"/>
            </w:tcMar>
          </w:tcPr>
          <w:p>
            <w:pPr>
              <w:spacing w:after="0"/>
            </w:pPr>
            <w:r>
              <w:rPr>
                <w:b/>
                <w:sz w:val="16"/>
              </w:rPr>
              <w:t>Claim surface</w:t>
            </w:r>
          </w:p>
        </w:tc>
        <w:tc>
          <w:tcPr>
            <w:tcW w:type="dxa" w:w="2437"/>
            <w:vAlign w:val="center"/>
            <w:tcMar>
              <w:top w:w="80" w:type="dxa"/>
              <w:start w:w="80" w:type="dxa"/>
              <w:bottom w:w="80" w:type="dxa"/>
              <w:end w:w="80" w:type="dxa"/>
            </w:tcMar>
          </w:tcPr>
          <w:p>
            <w:pPr>
              <w:spacing w:after="0"/>
            </w:pPr>
            <w:r>
              <w:rPr>
                <w:b/>
                <w:sz w:val="16"/>
              </w:rPr>
              <w:t>Pass-4 evidence</w:t>
            </w:r>
          </w:p>
        </w:tc>
        <w:tc>
          <w:tcPr>
            <w:tcW w:type="dxa" w:w="2437"/>
            <w:vAlign w:val="center"/>
            <w:tcMar>
              <w:top w:w="80" w:type="dxa"/>
              <w:start w:w="80" w:type="dxa"/>
              <w:bottom w:w="80" w:type="dxa"/>
              <w:end w:w="80" w:type="dxa"/>
            </w:tcMar>
          </w:tcPr>
          <w:p>
            <w:pPr>
              <w:spacing w:after="0"/>
            </w:pPr>
            <w:r>
              <w:rPr>
                <w:b/>
                <w:sz w:val="16"/>
              </w:rPr>
              <w:t>Verdict</w:t>
            </w:r>
          </w:p>
        </w:tc>
        <w:tc>
          <w:tcPr>
            <w:tcW w:type="dxa" w:w="2437"/>
            <w:vAlign w:val="center"/>
            <w:tcMar>
              <w:top w:w="80" w:type="dxa"/>
              <w:start w:w="80" w:type="dxa"/>
              <w:bottom w:w="80" w:type="dxa"/>
              <w:end w:w="80" w:type="dxa"/>
            </w:tcMar>
          </w:tcPr>
          <w:p>
            <w:pPr>
              <w:spacing w:after="0"/>
            </w:pPr>
            <w:r>
              <w:rPr>
                <w:b/>
                <w:sz w:val="16"/>
              </w:rPr>
              <w:t>Reason</w:t>
            </w:r>
          </w:p>
        </w:tc>
      </w:tr>
      <w:tr>
        <w:tc>
          <w:tcPr>
            <w:tcW w:type="dxa" w:w="2437"/>
            <w:vAlign w:val="center"/>
            <w:tcMar>
              <w:top w:w="80" w:type="dxa"/>
              <w:start w:w="80" w:type="dxa"/>
              <w:bottom w:w="80" w:type="dxa"/>
              <w:end w:w="80" w:type="dxa"/>
            </w:tcMar>
          </w:tcPr>
          <w:p>
            <w:pPr>
              <w:spacing w:after="0"/>
            </w:pPr>
            <w:r>
              <w:rPr>
                <w:sz w:val="16"/>
              </w:rPr>
              <w:t>Admissibility gate / continuation</w:t>
            </w:r>
          </w:p>
        </w:tc>
        <w:tc>
          <w:tcPr>
            <w:tcW w:type="dxa" w:w="2437"/>
            <w:vAlign w:val="center"/>
            <w:tcMar>
              <w:top w:w="80" w:type="dxa"/>
              <w:start w:w="80" w:type="dxa"/>
              <w:bottom w:w="80" w:type="dxa"/>
              <w:end w:w="80" w:type="dxa"/>
            </w:tcMar>
          </w:tcPr>
          <w:p>
            <w:pPr>
              <w:spacing w:after="0"/>
            </w:pPr>
            <w:r>
              <w:rPr>
                <w:sz w:val="16"/>
              </w:rPr>
              <w:t>Pre-Paton Zoran antecedents recovered</w:t>
            </w:r>
          </w:p>
        </w:tc>
        <w:tc>
          <w:tcPr>
            <w:tcW w:type="dxa" w:w="2437"/>
            <w:vAlign w:val="center"/>
            <w:tcMar>
              <w:top w:w="80" w:type="dxa"/>
              <w:start w:w="80" w:type="dxa"/>
              <w:bottom w:w="80" w:type="dxa"/>
              <w:end w:w="80" w:type="dxa"/>
            </w:tcMar>
          </w:tcPr>
          <w:p>
            <w:pPr>
              <w:spacing w:after="0"/>
            </w:pPr>
            <w:r>
              <w:rPr>
                <w:sz w:val="16"/>
              </w:rPr>
              <w:t>PARTLY CLOSED against Paton broad priority</w:t>
            </w:r>
          </w:p>
        </w:tc>
        <w:tc>
          <w:tcPr>
            <w:tcW w:type="dxa" w:w="2437"/>
            <w:vAlign w:val="center"/>
            <w:tcMar>
              <w:top w:w="80" w:type="dxa"/>
              <w:start w:w="80" w:type="dxa"/>
              <w:bottom w:w="80" w:type="dxa"/>
              <w:end w:w="80" w:type="dxa"/>
            </w:tcMar>
          </w:tcPr>
          <w:p>
            <w:pPr>
              <w:spacing w:after="0"/>
            </w:pPr>
            <w:r>
              <w:rPr>
                <w:sz w:val="16"/>
              </w:rPr>
              <w:t>Zoran LCCR, admissible trajectories and Coherence AI predate 20 Feb 2026.</w:t>
            </w:r>
          </w:p>
        </w:tc>
      </w:tr>
      <w:tr>
        <w:tc>
          <w:tcPr>
            <w:tcW w:type="dxa" w:w="2437"/>
            <w:vAlign w:val="center"/>
            <w:tcMar>
              <w:top w:w="80" w:type="dxa"/>
              <w:start w:w="80" w:type="dxa"/>
              <w:bottom w:w="80" w:type="dxa"/>
              <w:end w:w="80" w:type="dxa"/>
            </w:tcMar>
          </w:tcPr>
          <w:p>
            <w:pPr>
              <w:spacing w:after="0"/>
            </w:pPr>
            <w:r>
              <w:rPr>
                <w:sz w:val="16"/>
              </w:rPr>
              <w:t>Reachable state used in persistence law</w:t>
            </w:r>
          </w:p>
        </w:tc>
        <w:tc>
          <w:tcPr>
            <w:tcW w:type="dxa" w:w="2437"/>
            <w:vAlign w:val="center"/>
            <w:tcMar>
              <w:top w:w="80" w:type="dxa"/>
              <w:start w:w="80" w:type="dxa"/>
              <w:bottom w:w="80" w:type="dxa"/>
              <w:end w:w="80" w:type="dxa"/>
            </w:tcMar>
          </w:tcPr>
          <w:p>
            <w:pPr>
              <w:spacing w:after="0"/>
            </w:pPr>
            <w:r>
              <w:rPr>
                <w:sz w:val="16"/>
              </w:rPr>
              <w:t>Pre-Paton Zoran antecedent recovered</w:t>
            </w:r>
          </w:p>
        </w:tc>
        <w:tc>
          <w:tcPr>
            <w:tcW w:type="dxa" w:w="2437"/>
            <w:vAlign w:val="center"/>
            <w:tcMar>
              <w:top w:w="80" w:type="dxa"/>
              <w:start w:w="80" w:type="dxa"/>
              <w:bottom w:w="80" w:type="dxa"/>
              <w:end w:w="80" w:type="dxa"/>
            </w:tcMar>
          </w:tcPr>
          <w:p>
            <w:pPr>
              <w:spacing w:after="0"/>
            </w:pPr>
            <w:r>
              <w:rPr>
                <w:sz w:val="16"/>
              </w:rPr>
              <w:t>CLOSED against broad Paton priority</w:t>
            </w:r>
          </w:p>
        </w:tc>
        <w:tc>
          <w:tcPr>
            <w:tcW w:type="dxa" w:w="2437"/>
            <w:vAlign w:val="center"/>
            <w:tcMar>
              <w:top w:w="80" w:type="dxa"/>
              <w:start w:w="80" w:type="dxa"/>
              <w:bottom w:w="80" w:type="dxa"/>
              <w:end w:w="80" w:type="dxa"/>
            </w:tcMar>
          </w:tcPr>
          <w:p>
            <w:pPr>
              <w:spacing w:after="0"/>
            </w:pPr>
            <w:r>
              <w:rPr>
                <w:sz w:val="16"/>
              </w:rPr>
              <w:t>17977201 explicitly defines Q as a reachable dissolution state.</w:t>
            </w:r>
          </w:p>
        </w:tc>
      </w:tr>
      <w:tr>
        <w:tc>
          <w:tcPr>
            <w:tcW w:type="dxa" w:w="2437"/>
            <w:vAlign w:val="center"/>
            <w:tcMar>
              <w:top w:w="80" w:type="dxa"/>
              <w:start w:w="80" w:type="dxa"/>
              <w:bottom w:w="80" w:type="dxa"/>
              <w:end w:w="80" w:type="dxa"/>
            </w:tcMar>
          </w:tcPr>
          <w:p>
            <w:pPr>
              <w:spacing w:after="0"/>
            </w:pPr>
            <w:r>
              <w:rPr>
                <w:sz w:val="16"/>
              </w:rPr>
              <w:t>Admissible future / trajectory classification</w:t>
            </w:r>
          </w:p>
        </w:tc>
        <w:tc>
          <w:tcPr>
            <w:tcW w:type="dxa" w:w="2437"/>
            <w:vAlign w:val="center"/>
            <w:tcMar>
              <w:top w:w="80" w:type="dxa"/>
              <w:start w:w="80" w:type="dxa"/>
              <w:bottom w:w="80" w:type="dxa"/>
              <w:end w:w="80" w:type="dxa"/>
            </w:tcMar>
          </w:tcPr>
          <w:p>
            <w:pPr>
              <w:spacing w:after="0"/>
            </w:pPr>
            <w:r>
              <w:rPr>
                <w:sz w:val="16"/>
              </w:rPr>
              <w:t>Pre-Paton Zoran antecedents + executable engine recovered</w:t>
            </w:r>
          </w:p>
        </w:tc>
        <w:tc>
          <w:tcPr>
            <w:tcW w:type="dxa" w:w="2437"/>
            <w:vAlign w:val="center"/>
            <w:tcMar>
              <w:top w:w="80" w:type="dxa"/>
              <w:start w:w="80" w:type="dxa"/>
              <w:bottom w:w="80" w:type="dxa"/>
              <w:end w:w="80" w:type="dxa"/>
            </w:tcMar>
          </w:tcPr>
          <w:p>
            <w:pPr>
              <w:spacing w:after="0"/>
            </w:pPr>
            <w:r>
              <w:rPr>
                <w:sz w:val="16"/>
              </w:rPr>
              <w:t>CLOSED against broad Paton priority</w:t>
            </w:r>
          </w:p>
        </w:tc>
        <w:tc>
          <w:tcPr>
            <w:tcW w:type="dxa" w:w="2437"/>
            <w:vAlign w:val="center"/>
            <w:tcMar>
              <w:top w:w="80" w:type="dxa"/>
              <w:start w:w="80" w:type="dxa"/>
              <w:bottom w:w="80" w:type="dxa"/>
              <w:end w:w="80" w:type="dxa"/>
            </w:tcMar>
          </w:tcPr>
          <w:p>
            <w:pPr>
              <w:spacing w:after="0"/>
            </w:pPr>
            <w:r>
              <w:rPr>
                <w:sz w:val="16"/>
              </w:rPr>
              <w:t>Dedicated admissible-futures typology and S(t) trend engine exist before Paton.</w:t>
            </w:r>
          </w:p>
        </w:tc>
      </w:tr>
      <w:tr>
        <w:tc>
          <w:tcPr>
            <w:tcW w:type="dxa" w:w="2437"/>
            <w:vAlign w:val="center"/>
            <w:tcMar>
              <w:top w:w="80" w:type="dxa"/>
              <w:start w:w="80" w:type="dxa"/>
              <w:bottom w:w="80" w:type="dxa"/>
              <w:end w:w="80" w:type="dxa"/>
            </w:tcMar>
          </w:tcPr>
          <w:p>
            <w:pPr>
              <w:spacing w:after="0"/>
            </w:pPr>
            <w:r>
              <w:rPr>
                <w:sz w:val="16"/>
              </w:rPr>
              <w:t>Explicit Reachable(x₀,x) binary relation</w:t>
            </w:r>
          </w:p>
        </w:tc>
        <w:tc>
          <w:tcPr>
            <w:tcW w:type="dxa" w:w="2437"/>
            <w:vAlign w:val="center"/>
            <w:tcMar>
              <w:top w:w="80" w:type="dxa"/>
              <w:start w:w="80" w:type="dxa"/>
              <w:bottom w:w="80" w:type="dxa"/>
              <w:end w:w="80" w:type="dxa"/>
            </w:tcMar>
          </w:tcPr>
          <w:p>
            <w:pPr>
              <w:spacing w:after="0"/>
            </w:pPr>
            <w:r>
              <w:rPr>
                <w:sz w:val="16"/>
              </w:rPr>
              <w:t>No equivalent pre-Paton Zoran formula recovered</w:t>
            </w:r>
          </w:p>
        </w:tc>
        <w:tc>
          <w:tcPr>
            <w:tcW w:type="dxa" w:w="2437"/>
            <w:vAlign w:val="center"/>
            <w:tcMar>
              <w:top w:w="80" w:type="dxa"/>
              <w:start w:w="80" w:type="dxa"/>
              <w:bottom w:w="80" w:type="dxa"/>
              <w:end w:w="80" w:type="dxa"/>
            </w:tcMar>
          </w:tcPr>
          <w:p>
            <w:pPr>
              <w:spacing w:after="0"/>
            </w:pPr>
            <w:r>
              <w:rPr>
                <w:sz w:val="16"/>
              </w:rPr>
              <w:t>PATON PRIORITY CURRENTLY SURVIVES</w:t>
            </w:r>
          </w:p>
        </w:tc>
        <w:tc>
          <w:tcPr>
            <w:tcW w:type="dxa" w:w="2437"/>
            <w:vAlign w:val="center"/>
            <w:tcMar>
              <w:top w:w="80" w:type="dxa"/>
              <w:start w:w="80" w:type="dxa"/>
              <w:bottom w:w="80" w:type="dxa"/>
              <w:end w:w="80" w:type="dxa"/>
            </w:tcMar>
          </w:tcPr>
          <w:p>
            <w:pPr>
              <w:spacing w:after="0"/>
            </w:pPr>
            <w:r>
              <w:rPr>
                <w:sz w:val="16"/>
              </w:rPr>
              <w:t>No recovered Zoran artefact defines the exact binary relation or existential path quantifier.</w:t>
            </w:r>
          </w:p>
        </w:tc>
      </w:tr>
      <w:tr>
        <w:tc>
          <w:tcPr>
            <w:tcW w:type="dxa" w:w="2437"/>
            <w:vAlign w:val="center"/>
            <w:tcMar>
              <w:top w:w="80" w:type="dxa"/>
              <w:start w:w="80" w:type="dxa"/>
              <w:bottom w:w="80" w:type="dxa"/>
              <w:end w:w="80" w:type="dxa"/>
            </w:tcMar>
          </w:tcPr>
          <w:p>
            <w:pPr>
              <w:spacing w:after="0"/>
            </w:pPr>
            <w:r>
              <w:rPr>
                <w:sz w:val="16"/>
              </w:rPr>
              <w:t>Candidate generation P(s) + gate G decomposition</w:t>
            </w:r>
          </w:p>
        </w:tc>
        <w:tc>
          <w:tcPr>
            <w:tcW w:type="dxa" w:w="2437"/>
            <w:vAlign w:val="center"/>
            <w:tcMar>
              <w:top w:w="80" w:type="dxa"/>
              <w:start w:w="80" w:type="dxa"/>
              <w:bottom w:w="80" w:type="dxa"/>
              <w:end w:w="80" w:type="dxa"/>
            </w:tcMar>
          </w:tcPr>
          <w:p>
            <w:pPr>
              <w:spacing w:after="0"/>
            </w:pPr>
            <w:r>
              <w:rPr>
                <w:sz w:val="16"/>
              </w:rPr>
              <w:t>No E1 predecessor recovered in Zoran</w:t>
            </w:r>
          </w:p>
        </w:tc>
        <w:tc>
          <w:tcPr>
            <w:tcW w:type="dxa" w:w="2437"/>
            <w:vAlign w:val="center"/>
            <w:tcMar>
              <w:top w:w="80" w:type="dxa"/>
              <w:start w:w="80" w:type="dxa"/>
              <w:bottom w:w="80" w:type="dxa"/>
              <w:end w:w="80" w:type="dxa"/>
            </w:tcMar>
          </w:tcPr>
          <w:p>
            <w:pPr>
              <w:spacing w:after="0"/>
            </w:pPr>
            <w:r>
              <w:rPr>
                <w:sz w:val="16"/>
              </w:rPr>
              <w:t>PATON FORMULA-LEVEL DELTA SURVIVES</w:t>
            </w:r>
          </w:p>
        </w:tc>
        <w:tc>
          <w:tcPr>
            <w:tcW w:type="dxa" w:w="2437"/>
            <w:vAlign w:val="center"/>
            <w:tcMar>
              <w:top w:w="80" w:type="dxa"/>
              <w:start w:w="80" w:type="dxa"/>
              <w:bottom w:w="80" w:type="dxa"/>
              <w:end w:w="80" w:type="dxa"/>
            </w:tcMar>
          </w:tcPr>
          <w:p>
            <w:pPr>
              <w:spacing w:after="0"/>
            </w:pPr>
            <w:r>
              <w:rPr>
                <w:sz w:val="16"/>
              </w:rPr>
              <w:t>Zoran has filters/gates, but no verified algebraic/operator identity with Paton P/G.</w:t>
            </w:r>
          </w:p>
        </w:tc>
      </w:tr>
    </w:tbl>
    <w:p>
      <w:pPr/>
      <w:r>
        <w:rPr>
          <w:b/>
        </w:rPr>
        <w:t xml:space="preserve">BOUNDED NEGATIVE CERTIFICATE Z-NR-REACH-001 — </w:t>
      </w:r>
      <w:r>
        <w:t>Searches for “reachability” returned no pre-Paton Zoran operator; “reachable” recovered the 17977201 reachable-dissolution-state definition. Searches for path-existence equivalents did not recover a dated Zoran formula Reachable(x₀,x)=∃p. This supports “not recovered in the connected public corpus”, not universal absence.</w:t>
      </w:r>
    </w:p>
    <w:p>
      <w:pPr>
        <w:pStyle w:val="Heading2"/>
        <w:keepNext/>
        <w:keepLines/>
      </w:pPr>
      <w:r>
        <w:t>23.1 Operants, operated systems, and operands — separate priority surfaces</w:t>
      </w:r>
    </w:p>
    <w:p>
      <w:r>
        <w:t>Pass 4 also resolves a terminology risk. Zoran uses operant/opéré (operated system) for a causal relation and β, ΔΦ, T, σ as mathematical operands of a gauge. These are not the same category.</w:t>
      </w:r>
    </w:p>
    <w:tbl>
      <w:tblPr>
        <w:tblStyle w:val="TableGrid"/>
        <w:tblW w:type="auto" w:w="0"/>
        <w:jc w:val="center"/>
        <w:tblLayout w:type="autofit"/>
        <w:tblLook w:firstColumn="1" w:firstRow="1" w:lastColumn="0" w:lastRow="0" w:noHBand="0" w:noVBand="1" w:val="04A0"/>
      </w:tblPr>
      <w:tblGrid>
        <w:gridCol w:w="2437"/>
        <w:gridCol w:w="2437"/>
        <w:gridCol w:w="2437"/>
        <w:gridCol w:w="2437"/>
      </w:tblGrid>
      <w:tr>
        <w:trPr>
          <w:tblHeader w:val="true"/>
        </w:trPr>
        <w:tc>
          <w:tcPr>
            <w:tcW w:type="dxa" w:w="2437"/>
            <w:vAlign w:val="center"/>
            <w:tcMar>
              <w:top w:w="80" w:type="dxa"/>
              <w:start w:w="80" w:type="dxa"/>
              <w:bottom w:w="80" w:type="dxa"/>
              <w:end w:w="80" w:type="dxa"/>
            </w:tcMar>
          </w:tcPr>
          <w:p>
            <w:pPr>
              <w:spacing w:after="0"/>
            </w:pPr>
            <w:r>
              <w:rPr>
                <w:b/>
                <w:sz w:val="16"/>
              </w:rPr>
              <w:t>Term</w:t>
            </w:r>
          </w:p>
        </w:tc>
        <w:tc>
          <w:tcPr>
            <w:tcW w:type="dxa" w:w="2437"/>
            <w:vAlign w:val="center"/>
            <w:tcMar>
              <w:top w:w="80" w:type="dxa"/>
              <w:start w:w="80" w:type="dxa"/>
              <w:bottom w:w="80" w:type="dxa"/>
              <w:end w:w="80" w:type="dxa"/>
            </w:tcMar>
          </w:tcPr>
          <w:p>
            <w:pPr>
              <w:spacing w:after="0"/>
            </w:pPr>
            <w:r>
              <w:rPr>
                <w:b/>
                <w:sz w:val="16"/>
              </w:rPr>
              <w:t>Operational definition in this audit</w:t>
            </w:r>
          </w:p>
        </w:tc>
        <w:tc>
          <w:tcPr>
            <w:tcW w:type="dxa" w:w="2437"/>
            <w:vAlign w:val="center"/>
            <w:tcMar>
              <w:top w:w="80" w:type="dxa"/>
              <w:start w:w="80" w:type="dxa"/>
              <w:bottom w:w="80" w:type="dxa"/>
              <w:end w:w="80" w:type="dxa"/>
            </w:tcMar>
          </w:tcPr>
          <w:p>
            <w:pPr>
              <w:spacing w:after="0"/>
            </w:pPr>
            <w:r>
              <w:rPr>
                <w:b/>
                <w:sz w:val="16"/>
              </w:rPr>
              <w:t>Category</w:t>
            </w:r>
          </w:p>
        </w:tc>
        <w:tc>
          <w:tcPr>
            <w:tcW w:type="dxa" w:w="2437"/>
            <w:vAlign w:val="center"/>
            <w:tcMar>
              <w:top w:w="80" w:type="dxa"/>
              <w:start w:w="80" w:type="dxa"/>
              <w:bottom w:w="80" w:type="dxa"/>
              <w:end w:w="80" w:type="dxa"/>
            </w:tcMar>
          </w:tcPr>
          <w:p>
            <w:pPr>
              <w:spacing w:after="0"/>
            </w:pPr>
            <w:r>
              <w:rPr>
                <w:b/>
                <w:sz w:val="16"/>
              </w:rPr>
              <w:t>Priority note</w:t>
            </w:r>
          </w:p>
        </w:tc>
      </w:tr>
      <w:tr>
        <w:tc>
          <w:tcPr>
            <w:tcW w:type="dxa" w:w="2437"/>
            <w:vAlign w:val="center"/>
            <w:tcMar>
              <w:top w:w="80" w:type="dxa"/>
              <w:start w:w="80" w:type="dxa"/>
              <w:bottom w:w="80" w:type="dxa"/>
              <w:end w:w="80" w:type="dxa"/>
            </w:tcMar>
          </w:tcPr>
          <w:p>
            <w:pPr>
              <w:spacing w:after="0"/>
            </w:pPr>
            <w:r>
              <w:rPr>
                <w:sz w:val="16"/>
              </w:rPr>
              <w:t>Operant</w:t>
            </w:r>
          </w:p>
        </w:tc>
        <w:tc>
          <w:tcPr>
            <w:tcW w:type="dxa" w:w="2437"/>
            <w:vAlign w:val="center"/>
            <w:tcMar>
              <w:top w:w="80" w:type="dxa"/>
              <w:start w:w="80" w:type="dxa"/>
              <w:bottom w:w="80" w:type="dxa"/>
              <w:end w:w="80" w:type="dxa"/>
            </w:tcMar>
          </w:tcPr>
          <w:p>
            <w:pPr>
              <w:spacing w:after="0"/>
            </w:pPr>
            <w:r>
              <w:rPr>
                <w:sz w:val="16"/>
              </w:rPr>
              <w:t>A device/action/system whose effect on another system is qualified prior to or through interaction.</w:t>
            </w:r>
          </w:p>
        </w:tc>
        <w:tc>
          <w:tcPr>
            <w:tcW w:type="dxa" w:w="2437"/>
            <w:vAlign w:val="center"/>
            <w:tcMar>
              <w:top w:w="80" w:type="dxa"/>
              <w:start w:w="80" w:type="dxa"/>
              <w:bottom w:w="80" w:type="dxa"/>
              <w:end w:w="80" w:type="dxa"/>
            </w:tcMar>
          </w:tcPr>
          <w:p>
            <w:pPr>
              <w:spacing w:after="0"/>
            </w:pPr>
            <w:r>
              <w:rPr>
                <w:sz w:val="16"/>
              </w:rPr>
              <w:t>Causal actor / transformation source</w:t>
            </w:r>
          </w:p>
        </w:tc>
        <w:tc>
          <w:tcPr>
            <w:tcW w:type="dxa" w:w="2437"/>
            <w:vAlign w:val="center"/>
            <w:tcMar>
              <w:top w:w="80" w:type="dxa"/>
              <w:start w:w="80" w:type="dxa"/>
              <w:bottom w:w="80" w:type="dxa"/>
              <w:end w:w="80" w:type="dxa"/>
            </w:tcMar>
          </w:tcPr>
          <w:p>
            <w:pPr>
              <w:spacing w:after="0"/>
            </w:pPr>
            <w:r>
              <w:rPr>
                <w:sz w:val="16"/>
              </w:rPr>
              <w:t>Documented in the Cφ+S architecture by 18 Dec 2025.</w:t>
            </w:r>
          </w:p>
        </w:tc>
      </w:tr>
      <w:tr>
        <w:tc>
          <w:tcPr>
            <w:tcW w:type="dxa" w:w="2437"/>
            <w:vAlign w:val="center"/>
            <w:tcMar>
              <w:top w:w="80" w:type="dxa"/>
              <w:start w:w="80" w:type="dxa"/>
              <w:bottom w:w="80" w:type="dxa"/>
              <w:end w:w="80" w:type="dxa"/>
            </w:tcMar>
          </w:tcPr>
          <w:p>
            <w:pPr>
              <w:spacing w:after="0"/>
            </w:pPr>
            <w:r>
              <w:rPr>
                <w:sz w:val="16"/>
              </w:rPr>
              <w:t>Operated system / opéré</w:t>
            </w:r>
          </w:p>
        </w:tc>
        <w:tc>
          <w:tcPr>
            <w:tcW w:type="dxa" w:w="2437"/>
            <w:vAlign w:val="center"/>
            <w:tcMar>
              <w:top w:w="80" w:type="dxa"/>
              <w:start w:w="80" w:type="dxa"/>
              <w:bottom w:w="80" w:type="dxa"/>
              <w:end w:w="80" w:type="dxa"/>
            </w:tcMar>
          </w:tcPr>
          <w:p>
            <w:pPr>
              <w:spacing w:after="0"/>
            </w:pPr>
            <w:r>
              <w:rPr>
                <w:sz w:val="16"/>
              </w:rPr>
              <w:t>The system receiving the effect and bearing persistence/compensation consequences.</w:t>
            </w:r>
          </w:p>
        </w:tc>
        <w:tc>
          <w:tcPr>
            <w:tcW w:type="dxa" w:w="2437"/>
            <w:vAlign w:val="center"/>
            <w:tcMar>
              <w:top w:w="80" w:type="dxa"/>
              <w:start w:w="80" w:type="dxa"/>
              <w:bottom w:w="80" w:type="dxa"/>
              <w:end w:w="80" w:type="dxa"/>
            </w:tcMar>
          </w:tcPr>
          <w:p>
            <w:pPr>
              <w:spacing w:after="0"/>
            </w:pPr>
            <w:r>
              <w:rPr>
                <w:sz w:val="16"/>
              </w:rPr>
              <w:t>Causal target / affected system</w:t>
            </w:r>
          </w:p>
        </w:tc>
        <w:tc>
          <w:tcPr>
            <w:tcW w:type="dxa" w:w="2437"/>
            <w:vAlign w:val="center"/>
            <w:tcMar>
              <w:top w:w="80" w:type="dxa"/>
              <w:start w:w="80" w:type="dxa"/>
              <w:bottom w:w="80" w:type="dxa"/>
              <w:end w:w="80" w:type="dxa"/>
            </w:tcMar>
          </w:tcPr>
          <w:p>
            <w:pPr>
              <w:spacing w:after="0"/>
            </w:pPr>
            <w:r>
              <w:rPr>
                <w:sz w:val="16"/>
              </w:rPr>
              <w:t>Documented in the same conceptual lineage; later expanded explicitly.</w:t>
            </w:r>
          </w:p>
        </w:tc>
      </w:tr>
      <w:tr>
        <w:tc>
          <w:tcPr>
            <w:tcW w:type="dxa" w:w="2437"/>
            <w:vAlign w:val="center"/>
            <w:tcMar>
              <w:top w:w="80" w:type="dxa"/>
              <w:start w:w="80" w:type="dxa"/>
              <w:bottom w:w="80" w:type="dxa"/>
              <w:end w:w="80" w:type="dxa"/>
            </w:tcMar>
          </w:tcPr>
          <w:p>
            <w:pPr>
              <w:spacing w:after="0"/>
            </w:pPr>
            <w:r>
              <w:rPr>
                <w:sz w:val="16"/>
              </w:rPr>
              <w:t>Operand</w:t>
            </w:r>
          </w:p>
        </w:tc>
        <w:tc>
          <w:tcPr>
            <w:tcW w:type="dxa" w:w="2437"/>
            <w:vAlign w:val="center"/>
            <w:tcMar>
              <w:top w:w="80" w:type="dxa"/>
              <w:start w:w="80" w:type="dxa"/>
              <w:bottom w:w="80" w:type="dxa"/>
              <w:end w:w="80" w:type="dxa"/>
            </w:tcMar>
          </w:tcPr>
          <w:p>
            <w:pPr>
              <w:spacing w:after="0"/>
            </w:pPr>
            <w:r>
              <w:rPr>
                <w:sz w:val="16"/>
              </w:rPr>
              <w:t>β, ΔΦ, T, σ or domain proxy entering a mathematical calculation.</w:t>
            </w:r>
          </w:p>
        </w:tc>
        <w:tc>
          <w:tcPr>
            <w:tcW w:type="dxa" w:w="2437"/>
            <w:vAlign w:val="center"/>
            <w:tcMar>
              <w:top w:w="80" w:type="dxa"/>
              <w:start w:w="80" w:type="dxa"/>
              <w:bottom w:w="80" w:type="dxa"/>
              <w:end w:w="80" w:type="dxa"/>
            </w:tcMar>
          </w:tcPr>
          <w:p>
            <w:pPr>
              <w:spacing w:after="0"/>
            </w:pPr>
            <w:r>
              <w:rPr>
                <w:sz w:val="16"/>
              </w:rPr>
              <w:t>Numerical/formal input</w:t>
            </w:r>
          </w:p>
        </w:tc>
        <w:tc>
          <w:tcPr>
            <w:tcW w:type="dxa" w:w="2437"/>
            <w:vAlign w:val="center"/>
            <w:tcMar>
              <w:top w:w="80" w:type="dxa"/>
              <w:start w:w="80" w:type="dxa"/>
              <w:bottom w:w="80" w:type="dxa"/>
              <w:end w:w="80" w:type="dxa"/>
            </w:tcMar>
          </w:tcPr>
          <w:p>
            <w:pPr>
              <w:spacing w:after="0"/>
            </w:pPr>
            <w:r>
              <w:rPr>
                <w:sz w:val="16"/>
              </w:rPr>
              <w:t>Gauge family documented in Zoran public 2025 line.</w:t>
            </w:r>
          </w:p>
        </w:tc>
      </w:tr>
      <w:tr>
        <w:tc>
          <w:tcPr>
            <w:tcW w:type="dxa" w:w="2437"/>
            <w:vAlign w:val="center"/>
            <w:tcMar>
              <w:top w:w="80" w:type="dxa"/>
              <w:start w:w="80" w:type="dxa"/>
              <w:bottom w:w="80" w:type="dxa"/>
              <w:end w:w="80" w:type="dxa"/>
            </w:tcMar>
          </w:tcPr>
          <w:p>
            <w:pPr>
              <w:spacing w:after="0"/>
            </w:pPr>
            <w:r>
              <w:rPr>
                <w:sz w:val="16"/>
              </w:rPr>
              <w:t>Operator</w:t>
            </w:r>
          </w:p>
        </w:tc>
        <w:tc>
          <w:tcPr>
            <w:tcW w:type="dxa" w:w="2437"/>
            <w:vAlign w:val="center"/>
            <w:tcMar>
              <w:top w:w="80" w:type="dxa"/>
              <w:start w:w="80" w:type="dxa"/>
              <w:bottom w:w="80" w:type="dxa"/>
              <w:end w:w="80" w:type="dxa"/>
            </w:tcMar>
          </w:tcPr>
          <w:p>
            <w:pPr>
              <w:spacing w:after="0"/>
            </w:pPr>
            <w:r>
              <w:rPr>
                <w:sz w:val="16"/>
              </w:rPr>
              <w:t>A mapping/gate/transition relation acting on states or expressions.</w:t>
            </w:r>
          </w:p>
        </w:tc>
        <w:tc>
          <w:tcPr>
            <w:tcW w:type="dxa" w:w="2437"/>
            <w:vAlign w:val="center"/>
            <w:tcMar>
              <w:top w:w="80" w:type="dxa"/>
              <w:start w:w="80" w:type="dxa"/>
              <w:bottom w:w="80" w:type="dxa"/>
              <w:end w:w="80" w:type="dxa"/>
            </w:tcMar>
          </w:tcPr>
          <w:p>
            <w:pPr>
              <w:spacing w:after="0"/>
            </w:pPr>
            <w:r>
              <w:rPr>
                <w:sz w:val="16"/>
              </w:rPr>
              <w:t>Mathematical transformation</w:t>
            </w:r>
          </w:p>
        </w:tc>
        <w:tc>
          <w:tcPr>
            <w:tcW w:type="dxa" w:w="2437"/>
            <w:vAlign w:val="center"/>
            <w:tcMar>
              <w:top w:w="80" w:type="dxa"/>
              <w:start w:w="80" w:type="dxa"/>
              <w:bottom w:w="80" w:type="dxa"/>
              <w:end w:w="80" w:type="dxa"/>
            </w:tcMar>
          </w:tcPr>
          <w:p>
            <w:pPr>
              <w:spacing w:after="0"/>
            </w:pPr>
            <w:r>
              <w:rPr>
                <w:sz w:val="16"/>
              </w:rPr>
              <w:t>Must be compared formula-by-formula; terminology alone gives no priority.</w:t>
            </w:r>
          </w:p>
        </w:tc>
      </w:tr>
    </w:tbl>
    <w:p>
      <w:pPr/>
      <w:r>
        <w:rPr>
          <w:b/>
        </w:rPr>
        <w:t xml:space="preserve">AUDIT RULE — </w:t>
      </w:r>
      <w:r>
        <w:t>No equation or external programme is classified as “already in Zoran” because it uses an operator while Zoran discusses an operant. The lexical similarity has no mathematical force.</w:t>
      </w:r>
    </w:p>
    <w:p>
      <w:pPr>
        <w:pStyle w:val="Heading2"/>
        <w:keepNext/>
        <w:keepLines/>
      </w:pPr>
      <w:r>
        <w:t>23.2 Kinematics after the internal Zoran search</w:t>
      </w:r>
    </w:p>
    <w:p>
      <w:r>
        <w:t>The internal search strengthens Zoran’s temporal record but does not reverse the Pass-3 correction on physical coherence kinematics. Pre-Paton Zoran contains anticipation ΔF=f(t+ε)−f(t), time-indexed S(t), trajectory trend/debt logic, coherent continuation, and future-admissibility typologies. These establish a temporal/trajectory research programme. They do not predate Martirosyan et al. (arXiv 10 Oct 2024) on the physical propagation rate D=dℓ²/dt of quantum coherence.</w:t>
      </w:r>
    </w:p>
    <w:p>
      <w:pPr/>
      <w:r>
        <w:rPr>
          <w:b/>
        </w:rPr>
        <w:t xml:space="preserve">DEFENSIBLE DISTINCTION — </w:t>
      </w:r>
      <w:r>
        <w:t>Zoran may investigate a phenomenal or multi-frame kinematics defined as evolution of admissibility/coherence across frames and time. It should not describe that as the first kinematics of coherence without a narrower definition and separate prior-art proof.</w:t>
      </w:r>
    </w:p>
    <w:p>
      <w:pPr>
        <w:pStyle w:val="Heading1"/>
        <w:keepNext/>
        <w:keepLines/>
      </w:pPr>
      <w:r>
        <w:t>24. Sources and date anchors added in Pass 4</w:t>
      </w:r>
    </w:p>
    <w:p>
      <w:pPr>
        <w:pStyle w:val="Bibliography"/>
        <w:spacing w:after="40"/>
      </w:pPr>
      <w:r>
        <w:t>Zoran corpus, DOI 10.5281/zenodo.17977201 — consolidated CφΩ white paper: Cφ=D_KL(P||Q), Q defined as a reachable dissolution state; companion LCCR text: coherent prolongation of the past.</w:t>
      </w:r>
    </w:p>
    <w:p>
      <w:pPr>
        <w:pStyle w:val="Bibliography"/>
        <w:spacing w:after="40"/>
      </w:pPr>
      <w:r>
        <w:t>Medium, “Tout finit toujours par se savoir — démonstration”, 23 Dec 2025 — public link to 17977201 and description “Le futur comme prolongement non contradictoire du passé”.</w:t>
      </w:r>
    </w:p>
    <w:p>
      <w:pPr>
        <w:pStyle w:val="Bibliography"/>
        <w:spacing w:after="40"/>
      </w:pPr>
      <w:r>
        <w:t>Medium, “The Law of Phenomenal Coherence — Operants, Operated Systems, and the Cφ + S Engine”, 18 Dec 2025 — public link to DOI 17970269 and Cφ+S architecture.</w:t>
      </w:r>
    </w:p>
    <w:p>
      <w:pPr>
        <w:pStyle w:val="Bibliography"/>
        <w:spacing w:after="40"/>
      </w:pPr>
      <w:r>
        <w:t>Zoran corpus, DOI record 18281177 — “Coherence as a Transversal Invariant of Admissibility”, document self-date 17 Jan 2026; explicit trajectory persistence and global-continuation language.</w:t>
      </w:r>
    </w:p>
    <w:p>
      <w:pPr>
        <w:pStyle w:val="Bibliography"/>
        <w:spacing w:after="40"/>
      </w:pPr>
      <w:r>
        <w:t>Zoran corpus, records 18298888/18298889 — “Le futur cohérent d’un passé incohérent — Trajectoires admissibles…”; dedicated future-trajectory typology.</w:t>
      </w:r>
    </w:p>
    <w:p>
      <w:pPr>
        <w:pStyle w:val="Bibliography"/>
        <w:spacing w:after="40"/>
      </w:pPr>
      <w:r>
        <w:t>Medium, “De la cohérence minimale à la conscience testable…”, Jan 2026 — publicly references 18298889 as “Le futur cohérent d’un passé incohérent — trajectoires admissibles”.</w:t>
      </w:r>
    </w:p>
    <w:p>
      <w:pPr>
        <w:pStyle w:val="Bibliography"/>
        <w:spacing w:after="40"/>
      </w:pPr>
      <w:r>
        <w:t>Zoran corpus, records 18300022/18300445 — intelligence/coherence white paper and engine; explicit S(t) and executable trend-based trajectory admissibility.</w:t>
      </w:r>
    </w:p>
    <w:p>
      <w:pPr>
        <w:pStyle w:val="Bibliography"/>
        <w:spacing w:after="40"/>
      </w:pPr>
      <w:r>
        <w:t>Zorania Substack, “La Cohérence sous toutes ses formes”, 4 Feb 2026 — public hub listing 18298889, 18300022, 18300445 and 18399075 before Paton’s 20 Feb 2026 records.</w:t>
      </w:r>
    </w:p>
    <w:p>
      <w:pPr>
        <w:pStyle w:val="Bibliography"/>
        <w:spacing w:after="40"/>
      </w:pPr>
      <w:r>
        <w:t>Paton, A. J. — DOI 10.5281/zenodo.18707596 and 10.5281/zenodo.18708653, 20 Feb 2026 — explicit Continuation(s) ⇔ G(P(s))=1 and Admissible(x) ∧ Reachable(x₀,x).</w:t>
      </w:r>
    </w:p>
    <w:p>
      <w:pPr>
        <w:pStyle w:val="Heading1"/>
        <w:keepNext/>
        <w:keepLines/>
      </w:pPr>
      <w:r>
        <w:t>25. Pass 4 conclusions</w:t>
      </w:r>
    </w:p>
    <w:p>
      <w:pPr/>
      <w:r>
        <w:rPr>
          <w:b/>
        </w:rPr>
        <w:t xml:space="preserve">1 — PASS-3 OPEN POINT NARROWED. </w:t>
      </w:r>
      <w:r>
        <w:t>The historical question is no longer “did pre-Paton Zoran contain trajectories/reachability at all?” It did: reachable-state language, coherent continuation, admissible futures, S(t) trajectory qualification, and executable verdicts are all evidenced before 20 February 2026.</w:t>
      </w:r>
    </w:p>
    <w:p>
      <w:pPr/>
      <w:r>
        <w:rPr>
          <w:b/>
        </w:rPr>
        <w:t xml:space="preserve">2 — PATON STILL HAS A REAL FORMAL DELTA. </w:t>
      </w:r>
      <w:r>
        <w:t>The exact binary reachability relation and existential path-existence operator are not recovered in pre-Paton Zoran. Paton’s contribution should therefore be credited at that formula/operator level.</w:t>
      </w:r>
    </w:p>
    <w:p>
      <w:pPr/>
      <w:r>
        <w:rPr>
          <w:b/>
        </w:rPr>
        <w:t xml:space="preserve">3 — NO FALSE IDENTITY. </w:t>
      </w:r>
      <w:r>
        <w:t>A reachable reference state, an admissible instantiated trajectory, and existence of a permissible path are different mathematical objects. Pass 4 provides countermodels showing that Zoran trajectory trend and Paton path reachability do not determine one another.</w:t>
      </w:r>
    </w:p>
    <w:p>
      <w:pPr/>
      <w:r>
        <w:rPr>
          <w:b/>
        </w:rPr>
        <w:t xml:space="preserve">4 — ZORAN PRIORITY IS STRONGER BUT NARROWER. </w:t>
      </w:r>
      <w:r>
        <w:t>The defensible pre-Paton Zoran territory now includes a cumulative architecture of phenomenal distance to a reachable dissolution state, coherent future continuation, trajectory admissibility, temporal gauge evaluation, and executable filtering. It does not include a certified pre-Paton graph-reachability operator in the current public corpus.</w:t>
      </w:r>
    </w:p>
    <w:p>
      <w:pPr/>
      <w:r>
        <w:rPr>
          <w:b/>
        </w:rPr>
        <w:t xml:space="preserve">5 — KINEMATICS REMAINS SPLIT. </w:t>
      </w:r>
      <w:r>
        <w:t>Zoran has a genuine temporal/trajectory programme, but Martirosyan retains pre-Zoran priority for measured physical propagation kinematics of quantum coherence. The two should remain separately named.</w:t>
      </w:r>
    </w:p>
    <w:p>
      <w:pPr/>
      <w:r>
        <w:rPr>
          <w:b/>
        </w:rPr>
        <w:t xml:space="preserve">6 — PASS 4 STATUS. </w:t>
      </w:r>
      <w:r>
        <w:t>COMPLETED on the connected public search surface. Remaining uncertainty is explicitly bounded to inaccessible/unpublished historical material and the lack of a primary operator-level antecedent for Reachable(x₀,x).</w:t>
      </w:r>
    </w:p>
    <w:p>
      <w:pPr>
        <w:pStyle w:val="Heading1"/>
        <w:keepNext/>
        <w:keepLines/>
      </w:pPr>
      <w:r>
        <w:t>26. Work carried to Pass 5/10</w:t>
      </w:r>
    </w:p>
    <w:p>
      <w:pPr>
        <w:pStyle w:val="ListBullet"/>
      </w:pPr>
      <w:r>
        <w:t>Audit priority for AI-assisted transversal discovery and falsification architecture: distinguish retrieval assistance, equation generation, adversarial testing, independent replication, and formal decision gates.</w:t>
      </w:r>
    </w:p>
    <w:p>
      <w:pPr>
        <w:pStyle w:val="ListBullet"/>
      </w:pPr>
      <w:r>
        <w:t>Run multilingual external prior-art searches for equivalents of admissible trajectory, reachable persistence, coherent continuation, structural debt, non-compensation, and future-state filtering before the relevant Zoran dates.</w:t>
      </w:r>
    </w:p>
    <w:p>
      <w:pPr>
        <w:pStyle w:val="ListBullet"/>
      </w:pPr>
      <w:r>
        <w:t>Separate concept priority, equation/operator priority, empirical validation priority, executable implementation priority, and AI-method priority in a single five-axis ledger.</w:t>
      </w:r>
    </w:p>
    <w:p>
      <w:pPr>
        <w:pStyle w:val="ListBullet"/>
      </w:pPr>
      <w:r>
        <w:t>Keep the exact Paton Reachable(x₀,x) antecedent watch open: promote only if a dated pre-20-Feb-2026 Zoran formula with an explicit path/transition relation is recovered.</w:t>
      </w:r>
    </w:p>
    <w:p>
      <w:pPr>
        <w:pStyle w:val="ListBullet"/>
      </w:pPr>
      <w:r>
        <w:t>Continue the licence/code/patent ledger independently from scientific similarity.</w:t>
      </w:r>
    </w:p>
    <w:p>
      <w:pPr>
        <w:spacing w:before="200"/>
      </w:pPr>
      <w:r>
        <w:rPr>
          <w:b/>
        </w:rPr>
        <w:t xml:space="preserve">Working canonical gauge retained for this pass: S = (β × ΔΦ) / (T × σ × 1). </w:t>
      </w:r>
      <w:r>
        <w:t>The ×1 factor is mathematically neutral; no priority claim is attached to it.</w:t>
      </w:r>
    </w:p>
    <w:p>
      <w:r>
        <w:br w:type="page"/>
      </w:r>
    </w:p>
    <w:p>
      <w:pPr>
        <w:pStyle w:val="Heading1"/>
        <w:keepNext/>
        <w:keepLines/>
      </w:pPr>
      <w:r>
        <w:t>27. Pass 5/10 — AI-assisted transversal discovery and falsification priority audit</w:t>
      </w:r>
    </w:p>
    <w:p>
      <w:pPr>
        <w:spacing w:after="80"/>
      </w:pPr>
      <w:r>
        <w:rPr>
          <w:rFonts w:ascii="Aptos" w:hAnsi="Aptos"/>
          <w:sz w:val="19"/>
        </w:rPr>
        <w:t>Purpose. Pass 5 tests a narrower and more difficult historical question: what, if anything, is distinctive in Zoran’s AI-assisted scientific method once earlier autonomous science, symbolic regression, evaluator-guided LLM search, agentic falsification, formal safety shields and non-compensatory decision theory are credited at the level actually established by their primary sources? The audit is deliberately ingredient-by-ingredient and then assembly-by-assembly.</w:t>
      </w:r>
    </w:p>
    <w:p>
      <w:pPr>
        <w:spacing w:after="80"/>
      </w:pPr>
      <w:r>
        <w:rPr>
          <w:rFonts w:ascii="Aptos" w:hAnsi="Aptos"/>
          <w:sz w:val="19"/>
        </w:rPr>
        <w:t>AUDIT DATE — 26 August 2026.</w:t>
      </w:r>
    </w:p>
    <w:p>
      <w:pPr>
        <w:spacing w:after="80"/>
      </w:pPr>
      <w:r>
        <w:rPr>
          <w:rFonts w:ascii="Aptos" w:hAnsi="Aptos"/>
          <w:sz w:val="19"/>
        </w:rPr>
        <w:t>DATE RULE — Priority is assigned to the earliest verifiable public source for a specific scientific object or method. A title, repository name, marketing phrase or internal timestamp is not treated as equivalent to a public DOI/publication date unless independently anchored.</w:t>
      </w:r>
    </w:p>
    <w:p>
      <w:pPr>
        <w:spacing w:after="80"/>
      </w:pPr>
      <w:r>
        <w:rPr>
          <w:rFonts w:ascii="Aptos" w:hAnsi="Aptos"/>
          <w:sz w:val="19"/>
        </w:rPr>
        <w:t>IMPLEMENTATION RULE — A module name such as “Discovery Engine” or “Falsification” establishes a named design intent, not automatically the full behavior implied by the name. Code and reproducible outputs are audited separately.</w:t>
      </w:r>
    </w:p>
    <w:p>
      <w:pPr>
        <w:spacing w:after="80"/>
      </w:pPr>
      <w:r>
        <w:rPr>
          <w:rFonts w:ascii="Aptos" w:hAnsi="Aptos"/>
          <w:sz w:val="19"/>
        </w:rPr>
        <w:t>NEGATIVE-EVIDENCE RULE — Failure to recover a primary artefact is reported as PENDING / NOT RECOVERED on the bounded search surface; it is never upgraded into a claim that the artefact never existed.</w:t>
      </w:r>
    </w:p>
    <w:p>
      <w:pPr>
        <w:pStyle w:val="Heading2"/>
        <w:keepNext/>
        <w:keepLines/>
      </w:pPr>
      <w:r>
        <w:t>27.1 Claim decomposition: eight surfaces that must not be conflated</w:t>
      </w:r>
    </w:p>
    <w:tbl>
      <w:tblPr>
        <w:tblStyle w:val="TableGrid"/>
        <w:tblW w:type="auto" w:w="0"/>
        <w:jc w:val="center"/>
        <w:tblLook w:firstColumn="1" w:firstRow="1" w:lastColumn="0" w:lastRow="0" w:noHBand="0" w:noVBand="1" w:val="04A0"/>
      </w:tblPr>
      <w:tblGrid>
        <w:gridCol w:w="3250"/>
        <w:gridCol w:w="3250"/>
        <w:gridCol w:w="3250"/>
      </w:tblGrid>
      <w:tr>
        <w:trPr>
          <w:tblHeader w:val="true"/>
        </w:trPr>
        <w:tc>
          <w:tcPr>
            <w:tcW w:type="dxa" w:w="3250"/>
            <w:shd w:fill="D9EAF7"/>
            <w:vAlign w:val="center"/>
            <w:tcMar>
              <w:top w:w="80" w:type="dxa"/>
              <w:start w:w="80" w:type="dxa"/>
              <w:bottom w:w="80" w:type="dxa"/>
              <w:end w:w="80" w:type="dxa"/>
            </w:tcMar>
          </w:tcPr>
          <w:p>
            <w:pPr>
              <w:jc w:val="center"/>
            </w:pPr>
            <w:r>
              <w:rPr>
                <w:rFonts w:ascii="Aptos" w:hAnsi="Aptos"/>
                <w:b/>
                <w:sz w:val="15"/>
              </w:rPr>
              <w:t>ID</w:t>
            </w:r>
          </w:p>
        </w:tc>
        <w:tc>
          <w:tcPr>
            <w:tcW w:type="dxa" w:w="3250"/>
            <w:shd w:fill="D9EAF7"/>
            <w:vAlign w:val="center"/>
            <w:tcMar>
              <w:top w:w="80" w:type="dxa"/>
              <w:start w:w="80" w:type="dxa"/>
              <w:bottom w:w="80" w:type="dxa"/>
              <w:end w:w="80" w:type="dxa"/>
            </w:tcMar>
          </w:tcPr>
          <w:p>
            <w:pPr>
              <w:jc w:val="center"/>
            </w:pPr>
            <w:r>
              <w:rPr>
                <w:rFonts w:ascii="Aptos" w:hAnsi="Aptos"/>
                <w:b/>
                <w:sz w:val="15"/>
              </w:rPr>
              <w:t>Priority surface</w:t>
            </w:r>
          </w:p>
        </w:tc>
        <w:tc>
          <w:tcPr>
            <w:tcW w:type="dxa" w:w="3250"/>
            <w:shd w:fill="D9EAF7"/>
            <w:vAlign w:val="center"/>
            <w:tcMar>
              <w:top w:w="80" w:type="dxa"/>
              <w:start w:w="80" w:type="dxa"/>
              <w:bottom w:w="80" w:type="dxa"/>
              <w:end w:w="80" w:type="dxa"/>
            </w:tcMar>
          </w:tcPr>
          <w:p>
            <w:pPr>
              <w:jc w:val="center"/>
            </w:pPr>
            <w:r>
              <w:rPr>
                <w:rFonts w:ascii="Aptos" w:hAnsi="Aptos"/>
                <w:b/>
                <w:sz w:val="15"/>
              </w:rPr>
              <w:t>Operational meaning</w:t>
            </w:r>
          </w:p>
        </w:tc>
      </w:tr>
      <w:tr>
        <w:tc>
          <w:tcPr>
            <w:tcW w:type="dxa" w:w="3250"/>
            <w:tcMar>
              <w:top w:w="80" w:type="dxa"/>
              <w:start w:w="80" w:type="dxa"/>
              <w:bottom w:w="80" w:type="dxa"/>
              <w:end w:w="80" w:type="dxa"/>
            </w:tcMar>
            <w:vAlign w:val="top"/>
          </w:tcPr>
          <w:p>
            <w:pPr>
              <w:spacing w:after="0"/>
            </w:pPr>
            <w:r>
              <w:rPr>
                <w:rFonts w:ascii="Aptos" w:hAnsi="Aptos"/>
                <w:sz w:val="15"/>
              </w:rPr>
              <w:t>P5-A</w:t>
            </w:r>
          </w:p>
        </w:tc>
        <w:tc>
          <w:tcPr>
            <w:tcW w:type="dxa" w:w="3250"/>
            <w:tcMar>
              <w:top w:w="80" w:type="dxa"/>
              <w:start w:w="80" w:type="dxa"/>
              <w:bottom w:w="80" w:type="dxa"/>
              <w:end w:w="80" w:type="dxa"/>
            </w:tcMar>
            <w:vAlign w:val="top"/>
          </w:tcPr>
          <w:p>
            <w:pPr>
              <w:spacing w:after="0"/>
            </w:pPr>
            <w:r>
              <w:rPr>
                <w:rFonts w:ascii="Aptos" w:hAnsi="Aptos"/>
                <w:sz w:val="15"/>
              </w:rPr>
              <w:t>AI-assisted literature/retrieval search</w:t>
            </w:r>
          </w:p>
        </w:tc>
        <w:tc>
          <w:tcPr>
            <w:tcW w:type="dxa" w:w="3250"/>
            <w:tcMar>
              <w:top w:w="80" w:type="dxa"/>
              <w:start w:w="80" w:type="dxa"/>
              <w:bottom w:w="80" w:type="dxa"/>
              <w:end w:w="80" w:type="dxa"/>
            </w:tcMar>
            <w:vAlign w:val="top"/>
          </w:tcPr>
          <w:p>
            <w:pPr>
              <w:spacing w:after="0"/>
            </w:pPr>
            <w:r>
              <w:rPr>
                <w:rFonts w:ascii="Aptos" w:hAnsi="Aptos"/>
                <w:sz w:val="15"/>
              </w:rPr>
              <w:t>Finding and translating relevant prior art across fields.</w:t>
            </w:r>
          </w:p>
        </w:tc>
      </w:tr>
      <w:tr>
        <w:tc>
          <w:tcPr>
            <w:tcW w:type="dxa" w:w="3250"/>
            <w:tcMar>
              <w:top w:w="80" w:type="dxa"/>
              <w:start w:w="80" w:type="dxa"/>
              <w:bottom w:w="80" w:type="dxa"/>
              <w:end w:w="80" w:type="dxa"/>
            </w:tcMar>
            <w:vAlign w:val="top"/>
          </w:tcPr>
          <w:p>
            <w:pPr>
              <w:spacing w:after="0"/>
            </w:pPr>
            <w:r>
              <w:rPr>
                <w:rFonts w:ascii="Aptos" w:hAnsi="Aptos"/>
                <w:sz w:val="15"/>
              </w:rPr>
              <w:t>P5-B</w:t>
            </w:r>
          </w:p>
        </w:tc>
        <w:tc>
          <w:tcPr>
            <w:tcW w:type="dxa" w:w="3250"/>
            <w:tcMar>
              <w:top w:w="80" w:type="dxa"/>
              <w:start w:w="80" w:type="dxa"/>
              <w:bottom w:w="80" w:type="dxa"/>
              <w:end w:w="80" w:type="dxa"/>
            </w:tcMar>
            <w:vAlign w:val="top"/>
          </w:tcPr>
          <w:p>
            <w:pPr>
              <w:spacing w:after="0"/>
            </w:pPr>
            <w:r>
              <w:rPr>
                <w:rFonts w:ascii="Aptos" w:hAnsi="Aptos"/>
                <w:sz w:val="15"/>
              </w:rPr>
              <w:t>Automatic equation / law discovery</w:t>
            </w:r>
          </w:p>
        </w:tc>
        <w:tc>
          <w:tcPr>
            <w:tcW w:type="dxa" w:w="3250"/>
            <w:tcMar>
              <w:top w:w="80" w:type="dxa"/>
              <w:start w:w="80" w:type="dxa"/>
              <w:bottom w:w="80" w:type="dxa"/>
              <w:end w:w="80" w:type="dxa"/>
            </w:tcMar>
            <w:vAlign w:val="top"/>
          </w:tcPr>
          <w:p>
            <w:pPr>
              <w:spacing w:after="0"/>
            </w:pPr>
            <w:r>
              <w:rPr>
                <w:rFonts w:ascii="Aptos" w:hAnsi="Aptos"/>
                <w:sz w:val="15"/>
              </w:rPr>
              <w:t>Deriving symbolic relations from data or search.</w:t>
            </w:r>
          </w:p>
        </w:tc>
      </w:tr>
      <w:tr>
        <w:tc>
          <w:tcPr>
            <w:tcW w:type="dxa" w:w="3250"/>
            <w:tcMar>
              <w:top w:w="80" w:type="dxa"/>
              <w:start w:w="80" w:type="dxa"/>
              <w:bottom w:w="80" w:type="dxa"/>
              <w:end w:w="80" w:type="dxa"/>
            </w:tcMar>
            <w:vAlign w:val="top"/>
          </w:tcPr>
          <w:p>
            <w:pPr>
              <w:spacing w:after="0"/>
            </w:pPr>
            <w:r>
              <w:rPr>
                <w:rFonts w:ascii="Aptos" w:hAnsi="Aptos"/>
                <w:sz w:val="15"/>
              </w:rPr>
              <w:t>P5-C</w:t>
            </w:r>
          </w:p>
        </w:tc>
        <w:tc>
          <w:tcPr>
            <w:tcW w:type="dxa" w:w="3250"/>
            <w:tcMar>
              <w:top w:w="80" w:type="dxa"/>
              <w:start w:w="80" w:type="dxa"/>
              <w:bottom w:w="80" w:type="dxa"/>
              <w:end w:w="80" w:type="dxa"/>
            </w:tcMar>
            <w:vAlign w:val="top"/>
          </w:tcPr>
          <w:p>
            <w:pPr>
              <w:spacing w:after="0"/>
            </w:pPr>
            <w:r>
              <w:rPr>
                <w:rFonts w:ascii="Aptos" w:hAnsi="Aptos"/>
                <w:sz w:val="15"/>
              </w:rPr>
              <w:t>Autonomous scientific loop</w:t>
            </w:r>
          </w:p>
        </w:tc>
        <w:tc>
          <w:tcPr>
            <w:tcW w:type="dxa" w:w="3250"/>
            <w:tcMar>
              <w:top w:w="80" w:type="dxa"/>
              <w:start w:w="80" w:type="dxa"/>
              <w:bottom w:w="80" w:type="dxa"/>
              <w:end w:w="80" w:type="dxa"/>
            </w:tcMar>
            <w:vAlign w:val="top"/>
          </w:tcPr>
          <w:p>
            <w:pPr>
              <w:spacing w:after="0"/>
            </w:pPr>
            <w:r>
              <w:rPr>
                <w:rFonts w:ascii="Aptos" w:hAnsi="Aptos"/>
                <w:sz w:val="15"/>
              </w:rPr>
              <w:t>Idea/hypothesis → code/experiment → results → paper/review.</w:t>
            </w:r>
          </w:p>
        </w:tc>
      </w:tr>
      <w:tr>
        <w:tc>
          <w:tcPr>
            <w:tcW w:type="dxa" w:w="3250"/>
            <w:tcMar>
              <w:top w:w="80" w:type="dxa"/>
              <w:start w:w="80" w:type="dxa"/>
              <w:bottom w:w="80" w:type="dxa"/>
              <w:end w:w="80" w:type="dxa"/>
            </w:tcMar>
            <w:vAlign w:val="top"/>
          </w:tcPr>
          <w:p>
            <w:pPr>
              <w:spacing w:after="0"/>
            </w:pPr>
            <w:r>
              <w:rPr>
                <w:rFonts w:ascii="Aptos" w:hAnsi="Aptos"/>
                <w:sz w:val="15"/>
              </w:rPr>
              <w:t>P5-D</w:t>
            </w:r>
          </w:p>
        </w:tc>
        <w:tc>
          <w:tcPr>
            <w:tcW w:type="dxa" w:w="3250"/>
            <w:tcMar>
              <w:top w:w="80" w:type="dxa"/>
              <w:start w:w="80" w:type="dxa"/>
              <w:bottom w:w="80" w:type="dxa"/>
              <w:end w:w="80" w:type="dxa"/>
            </w:tcMar>
            <w:vAlign w:val="top"/>
          </w:tcPr>
          <w:p>
            <w:pPr>
              <w:spacing w:after="0"/>
            </w:pPr>
            <w:r>
              <w:rPr>
                <w:rFonts w:ascii="Aptos" w:hAnsi="Aptos"/>
                <w:sz w:val="15"/>
              </w:rPr>
              <w:t>LLM-agent falsification</w:t>
            </w:r>
          </w:p>
        </w:tc>
        <w:tc>
          <w:tcPr>
            <w:tcW w:type="dxa" w:w="3250"/>
            <w:tcMar>
              <w:top w:w="80" w:type="dxa"/>
              <w:start w:w="80" w:type="dxa"/>
              <w:bottom w:w="80" w:type="dxa"/>
              <w:end w:w="80" w:type="dxa"/>
            </w:tcMar>
            <w:vAlign w:val="top"/>
          </w:tcPr>
          <w:p>
            <w:pPr>
              <w:spacing w:after="0"/>
            </w:pPr>
            <w:r>
              <w:rPr>
                <w:rFonts w:ascii="Aptos" w:hAnsi="Aptos"/>
                <w:sz w:val="15"/>
              </w:rPr>
              <w:t>Agents design tests intended to refute free-form hypotheses.</w:t>
            </w:r>
          </w:p>
        </w:tc>
      </w:tr>
      <w:tr>
        <w:tc>
          <w:tcPr>
            <w:tcW w:type="dxa" w:w="3250"/>
            <w:tcMar>
              <w:top w:w="80" w:type="dxa"/>
              <w:start w:w="80" w:type="dxa"/>
              <w:bottom w:w="80" w:type="dxa"/>
              <w:end w:w="80" w:type="dxa"/>
            </w:tcMar>
            <w:vAlign w:val="top"/>
          </w:tcPr>
          <w:p>
            <w:pPr>
              <w:spacing w:after="0"/>
            </w:pPr>
            <w:r>
              <w:rPr>
                <w:rFonts w:ascii="Aptos" w:hAnsi="Aptos"/>
                <w:sz w:val="15"/>
              </w:rPr>
              <w:t>P5-E</w:t>
            </w:r>
          </w:p>
        </w:tc>
        <w:tc>
          <w:tcPr>
            <w:tcW w:type="dxa" w:w="3250"/>
            <w:tcMar>
              <w:top w:w="80" w:type="dxa"/>
              <w:start w:w="80" w:type="dxa"/>
              <w:bottom w:w="80" w:type="dxa"/>
              <w:end w:w="80" w:type="dxa"/>
            </w:tcMar>
            <w:vAlign w:val="top"/>
          </w:tcPr>
          <w:p>
            <w:pPr>
              <w:spacing w:after="0"/>
            </w:pPr>
            <w:r>
              <w:rPr>
                <w:rFonts w:ascii="Aptos" w:hAnsi="Aptos"/>
                <w:sz w:val="15"/>
              </w:rPr>
              <w:t>Evaluator-guided discovery</w:t>
            </w:r>
          </w:p>
        </w:tc>
        <w:tc>
          <w:tcPr>
            <w:tcW w:type="dxa" w:w="3250"/>
            <w:tcMar>
              <w:top w:w="80" w:type="dxa"/>
              <w:start w:w="80" w:type="dxa"/>
              <w:bottom w:w="80" w:type="dxa"/>
              <w:end w:w="80" w:type="dxa"/>
            </w:tcMar>
            <w:vAlign w:val="top"/>
          </w:tcPr>
          <w:p>
            <w:pPr>
              <w:spacing w:after="0"/>
            </w:pPr>
            <w:r>
              <w:rPr>
                <w:rFonts w:ascii="Aptos" w:hAnsi="Aptos"/>
                <w:sz w:val="15"/>
              </w:rPr>
              <w:t>Generative model proposes candidates; formal evaluator filters/scores them.</w:t>
            </w:r>
          </w:p>
        </w:tc>
      </w:tr>
      <w:tr>
        <w:tc>
          <w:tcPr>
            <w:tcW w:type="dxa" w:w="3250"/>
            <w:tcMar>
              <w:top w:w="80" w:type="dxa"/>
              <w:start w:w="80" w:type="dxa"/>
              <w:bottom w:w="80" w:type="dxa"/>
              <w:end w:w="80" w:type="dxa"/>
            </w:tcMar>
            <w:vAlign w:val="top"/>
          </w:tcPr>
          <w:p>
            <w:pPr>
              <w:spacing w:after="0"/>
            </w:pPr>
            <w:r>
              <w:rPr>
                <w:rFonts w:ascii="Aptos" w:hAnsi="Aptos"/>
                <w:sz w:val="15"/>
              </w:rPr>
              <w:t>P5-F</w:t>
            </w:r>
          </w:p>
        </w:tc>
        <w:tc>
          <w:tcPr>
            <w:tcW w:type="dxa" w:w="3250"/>
            <w:tcMar>
              <w:top w:w="80" w:type="dxa"/>
              <w:start w:w="80" w:type="dxa"/>
              <w:bottom w:w="80" w:type="dxa"/>
              <w:end w:w="80" w:type="dxa"/>
            </w:tcMar>
            <w:vAlign w:val="top"/>
          </w:tcPr>
          <w:p>
            <w:pPr>
              <w:spacing w:after="0"/>
            </w:pPr>
            <w:r>
              <w:rPr>
                <w:rFonts w:ascii="Aptos" w:hAnsi="Aptos"/>
                <w:sz w:val="15"/>
              </w:rPr>
              <w:t>Formal veto / non-compensation</w:t>
            </w:r>
          </w:p>
        </w:tc>
        <w:tc>
          <w:tcPr>
            <w:tcW w:type="dxa" w:w="3250"/>
            <w:tcMar>
              <w:top w:w="80" w:type="dxa"/>
              <w:start w:w="80" w:type="dxa"/>
              <w:bottom w:w="80" w:type="dxa"/>
              <w:end w:w="80" w:type="dxa"/>
            </w:tcMar>
            <w:vAlign w:val="top"/>
          </w:tcPr>
          <w:p>
            <w:pPr>
              <w:spacing w:after="0"/>
            </w:pPr>
            <w:r>
              <w:rPr>
                <w:rFonts w:ascii="Aptos" w:hAnsi="Aptos"/>
                <w:sz w:val="15"/>
              </w:rPr>
              <w:t>Unsafe or invalid states cannot be rescued by unrelated gains.</w:t>
            </w:r>
          </w:p>
        </w:tc>
      </w:tr>
      <w:tr>
        <w:tc>
          <w:tcPr>
            <w:tcW w:type="dxa" w:w="3250"/>
            <w:tcMar>
              <w:top w:w="80" w:type="dxa"/>
              <w:start w:w="80" w:type="dxa"/>
              <w:bottom w:w="80" w:type="dxa"/>
              <w:end w:w="80" w:type="dxa"/>
            </w:tcMar>
            <w:vAlign w:val="top"/>
          </w:tcPr>
          <w:p>
            <w:pPr>
              <w:spacing w:after="0"/>
            </w:pPr>
            <w:r>
              <w:rPr>
                <w:rFonts w:ascii="Aptos" w:hAnsi="Aptos"/>
                <w:sz w:val="15"/>
              </w:rPr>
              <w:t>P5-G</w:t>
            </w:r>
          </w:p>
        </w:tc>
        <w:tc>
          <w:tcPr>
            <w:tcW w:type="dxa" w:w="3250"/>
            <w:tcMar>
              <w:top w:w="80" w:type="dxa"/>
              <w:start w:w="80" w:type="dxa"/>
              <w:bottom w:w="80" w:type="dxa"/>
              <w:end w:w="80" w:type="dxa"/>
            </w:tcMar>
            <w:vAlign w:val="top"/>
          </w:tcPr>
          <w:p>
            <w:pPr>
              <w:spacing w:after="0"/>
            </w:pPr>
            <w:r>
              <w:rPr>
                <w:rFonts w:ascii="Aptos" w:hAnsi="Aptos"/>
                <w:sz w:val="15"/>
              </w:rPr>
              <w:t>Multi-AI adversarial evaluation</w:t>
            </w:r>
          </w:p>
        </w:tc>
        <w:tc>
          <w:tcPr>
            <w:tcW w:type="dxa" w:w="3250"/>
            <w:tcMar>
              <w:top w:w="80" w:type="dxa"/>
              <w:start w:w="80" w:type="dxa"/>
              <w:bottom w:w="80" w:type="dxa"/>
              <w:end w:w="80" w:type="dxa"/>
            </w:tcMar>
            <w:vAlign w:val="top"/>
          </w:tcPr>
          <w:p>
            <w:pPr>
              <w:spacing w:after="0"/>
            </w:pPr>
            <w:r>
              <w:rPr>
                <w:rFonts w:ascii="Aptos" w:hAnsi="Aptos"/>
                <w:sz w:val="15"/>
              </w:rPr>
              <w:t>Several models are tested under common quantitative and red-team protocols.</w:t>
            </w:r>
          </w:p>
        </w:tc>
      </w:tr>
      <w:tr>
        <w:tc>
          <w:tcPr>
            <w:tcW w:type="dxa" w:w="3250"/>
            <w:tcMar>
              <w:top w:w="80" w:type="dxa"/>
              <w:start w:w="80" w:type="dxa"/>
              <w:bottom w:w="80" w:type="dxa"/>
              <w:end w:w="80" w:type="dxa"/>
            </w:tcMar>
            <w:vAlign w:val="top"/>
          </w:tcPr>
          <w:p>
            <w:pPr>
              <w:spacing w:after="0"/>
            </w:pPr>
            <w:r>
              <w:rPr>
                <w:rFonts w:ascii="Aptos" w:hAnsi="Aptos"/>
                <w:sz w:val="15"/>
              </w:rPr>
              <w:t>P5-H</w:t>
            </w:r>
          </w:p>
        </w:tc>
        <w:tc>
          <w:tcPr>
            <w:tcW w:type="dxa" w:w="3250"/>
            <w:tcMar>
              <w:top w:w="80" w:type="dxa"/>
              <w:start w:w="80" w:type="dxa"/>
              <w:bottom w:w="80" w:type="dxa"/>
              <w:end w:w="80" w:type="dxa"/>
            </w:tcMar>
            <w:vAlign w:val="top"/>
          </w:tcPr>
          <w:p>
            <w:pPr>
              <w:spacing w:after="0"/>
            </w:pPr>
            <w:r>
              <w:rPr>
                <w:rFonts w:ascii="Aptos" w:hAnsi="Aptos"/>
                <w:sz w:val="15"/>
              </w:rPr>
              <w:t>Assembled Zoran architecture</w:t>
            </w:r>
          </w:p>
        </w:tc>
        <w:tc>
          <w:tcPr>
            <w:tcW w:type="dxa" w:w="3250"/>
            <w:tcMar>
              <w:top w:w="80" w:type="dxa"/>
              <w:start w:w="80" w:type="dxa"/>
              <w:bottom w:w="80" w:type="dxa"/>
              <w:end w:w="80" w:type="dxa"/>
            </w:tcMar>
            <w:vAlign w:val="top"/>
          </w:tcPr>
          <w:p>
            <w:pPr>
              <w:spacing w:after="0"/>
            </w:pPr>
            <w:r>
              <w:rPr>
                <w:rFonts w:ascii="Aptos" w:hAnsi="Aptos"/>
                <w:sz w:val="15"/>
              </w:rPr>
              <w:t>Frames/proxies + S-gauge + temporal admissibility + veto + traceability + adversarial testing + refusal/silence.</w:t>
            </w:r>
          </w:p>
        </w:tc>
      </w:tr>
    </w:tbl>
    <w:p>
      <w:pPr>
        <w:pStyle w:val="Heading1"/>
        <w:keepNext/>
        <w:keepLines/>
      </w:pPr>
      <w:r>
        <w:t>28. External prior-art ladder — what clearly predates Zoran</w:t>
      </w:r>
    </w:p>
    <w:tbl>
      <w:tblPr>
        <w:tblStyle w:val="TableGrid"/>
        <w:tblW w:type="auto" w:w="0"/>
        <w:jc w:val="center"/>
        <w:tblLook w:firstColumn="1" w:firstRow="1" w:lastColumn="0" w:lastRow="0" w:noHBand="0" w:noVBand="1" w:val="04A0"/>
      </w:tblPr>
      <w:tblGrid>
        <w:gridCol w:w="2437"/>
        <w:gridCol w:w="2437"/>
        <w:gridCol w:w="2437"/>
        <w:gridCol w:w="2437"/>
      </w:tblGrid>
      <w:tr>
        <w:trPr>
          <w:tblHeader w:val="true"/>
        </w:trPr>
        <w:tc>
          <w:tcPr>
            <w:tcW w:type="dxa" w:w="2437"/>
            <w:shd w:fill="D9EAF7"/>
            <w:vAlign w:val="center"/>
            <w:tcMar>
              <w:top w:w="80" w:type="dxa"/>
              <w:start w:w="80" w:type="dxa"/>
              <w:bottom w:w="80" w:type="dxa"/>
              <w:end w:w="80" w:type="dxa"/>
            </w:tcMar>
          </w:tcPr>
          <w:p>
            <w:pPr>
              <w:jc w:val="center"/>
            </w:pPr>
            <w:r>
              <w:rPr>
                <w:rFonts w:ascii="Aptos" w:hAnsi="Aptos"/>
                <w:b/>
                <w:sz w:val="14"/>
              </w:rPr>
              <w:t>Earliest anchor</w:t>
            </w:r>
          </w:p>
        </w:tc>
        <w:tc>
          <w:tcPr>
            <w:tcW w:type="dxa" w:w="2437"/>
            <w:shd w:fill="D9EAF7"/>
            <w:vAlign w:val="center"/>
            <w:tcMar>
              <w:top w:w="80" w:type="dxa"/>
              <w:start w:w="80" w:type="dxa"/>
              <w:bottom w:w="80" w:type="dxa"/>
              <w:end w:w="80" w:type="dxa"/>
            </w:tcMar>
          </w:tcPr>
          <w:p>
            <w:pPr>
              <w:jc w:val="center"/>
            </w:pPr>
            <w:r>
              <w:rPr>
                <w:rFonts w:ascii="Aptos" w:hAnsi="Aptos"/>
                <w:b/>
                <w:sz w:val="14"/>
              </w:rPr>
              <w:t>Programme</w:t>
            </w:r>
          </w:p>
        </w:tc>
        <w:tc>
          <w:tcPr>
            <w:tcW w:type="dxa" w:w="2437"/>
            <w:shd w:fill="D9EAF7"/>
            <w:vAlign w:val="center"/>
            <w:tcMar>
              <w:top w:w="80" w:type="dxa"/>
              <w:start w:w="80" w:type="dxa"/>
              <w:bottom w:w="80" w:type="dxa"/>
              <w:end w:w="80" w:type="dxa"/>
            </w:tcMar>
          </w:tcPr>
          <w:p>
            <w:pPr>
              <w:jc w:val="center"/>
            </w:pPr>
            <w:r>
              <w:rPr>
                <w:rFonts w:ascii="Aptos" w:hAnsi="Aptos"/>
                <w:b/>
                <w:sz w:val="14"/>
              </w:rPr>
              <w:t>What the prior art establishes</w:t>
            </w:r>
          </w:p>
        </w:tc>
        <w:tc>
          <w:tcPr>
            <w:tcW w:type="dxa" w:w="2437"/>
            <w:shd w:fill="D9EAF7"/>
            <w:vAlign w:val="center"/>
            <w:tcMar>
              <w:top w:w="80" w:type="dxa"/>
              <w:start w:w="80" w:type="dxa"/>
              <w:bottom w:w="80" w:type="dxa"/>
              <w:end w:w="80" w:type="dxa"/>
            </w:tcMar>
          </w:tcPr>
          <w:p>
            <w:pPr>
              <w:jc w:val="center"/>
            </w:pPr>
            <w:r>
              <w:rPr>
                <w:rFonts w:ascii="Aptos" w:hAnsi="Aptos"/>
                <w:b/>
                <w:sz w:val="14"/>
              </w:rPr>
              <w:t>Priority consequence</w:t>
            </w:r>
          </w:p>
        </w:tc>
      </w:tr>
      <w:tr>
        <w:tc>
          <w:tcPr>
            <w:tcW w:type="dxa" w:w="2437"/>
            <w:tcMar>
              <w:top w:w="80" w:type="dxa"/>
              <w:start w:w="80" w:type="dxa"/>
              <w:bottom w:w="80" w:type="dxa"/>
              <w:end w:w="80" w:type="dxa"/>
            </w:tcMar>
            <w:vAlign w:val="top"/>
          </w:tcPr>
          <w:p>
            <w:pPr>
              <w:spacing w:after="0"/>
            </w:pPr>
            <w:r>
              <w:rPr>
                <w:rFonts w:ascii="Aptos" w:hAnsi="Aptos"/>
                <w:sz w:val="14"/>
              </w:rPr>
              <w:t>2009</w:t>
            </w:r>
          </w:p>
        </w:tc>
        <w:tc>
          <w:tcPr>
            <w:tcW w:type="dxa" w:w="2437"/>
            <w:tcMar>
              <w:top w:w="80" w:type="dxa"/>
              <w:start w:w="80" w:type="dxa"/>
              <w:bottom w:w="80" w:type="dxa"/>
              <w:end w:w="80" w:type="dxa"/>
            </w:tcMar>
            <w:vAlign w:val="top"/>
          </w:tcPr>
          <w:p>
            <w:pPr>
              <w:spacing w:after="0"/>
            </w:pPr>
            <w:r>
              <w:rPr>
                <w:rFonts w:ascii="Aptos" w:hAnsi="Aptos"/>
                <w:sz w:val="14"/>
              </w:rPr>
              <w:t>King et al. — Robot Scientist “Adam”</w:t>
            </w:r>
          </w:p>
        </w:tc>
        <w:tc>
          <w:tcPr>
            <w:tcW w:type="dxa" w:w="2437"/>
            <w:tcMar>
              <w:top w:w="80" w:type="dxa"/>
              <w:start w:w="80" w:type="dxa"/>
              <w:bottom w:w="80" w:type="dxa"/>
              <w:end w:w="80" w:type="dxa"/>
            </w:tcMar>
            <w:vAlign w:val="top"/>
          </w:tcPr>
          <w:p>
            <w:pPr>
              <w:spacing w:after="0"/>
            </w:pPr>
            <w:r>
              <w:rPr>
                <w:rFonts w:ascii="Aptos" w:hAnsi="Aptos"/>
                <w:sz w:val="14"/>
              </w:rPr>
              <w:t>Automates hypothetico-deductive science and experimental cycles.</w:t>
            </w:r>
          </w:p>
        </w:tc>
        <w:tc>
          <w:tcPr>
            <w:tcW w:type="dxa" w:w="2437"/>
            <w:tcMar>
              <w:top w:w="80" w:type="dxa"/>
              <w:start w:w="80" w:type="dxa"/>
              <w:bottom w:w="80" w:type="dxa"/>
              <w:end w:w="80" w:type="dxa"/>
            </w:tcMar>
            <w:vAlign w:val="top"/>
          </w:tcPr>
          <w:p>
            <w:pPr>
              <w:spacing w:after="0"/>
            </w:pPr>
            <w:r>
              <w:rPr>
                <w:rFonts w:ascii="Aptos" w:hAnsi="Aptos"/>
                <w:sz w:val="14"/>
              </w:rPr>
              <w:t>Blocks broad priority for autonomous machine science.</w:t>
            </w:r>
          </w:p>
        </w:tc>
      </w:tr>
      <w:tr>
        <w:tc>
          <w:tcPr>
            <w:tcW w:type="dxa" w:w="2437"/>
            <w:tcMar>
              <w:top w:w="80" w:type="dxa"/>
              <w:start w:w="80" w:type="dxa"/>
              <w:bottom w:w="80" w:type="dxa"/>
              <w:end w:w="80" w:type="dxa"/>
            </w:tcMar>
            <w:vAlign w:val="top"/>
          </w:tcPr>
          <w:p>
            <w:pPr>
              <w:spacing w:after="0"/>
            </w:pPr>
            <w:r>
              <w:rPr>
                <w:rFonts w:ascii="Aptos" w:hAnsi="Aptos"/>
                <w:sz w:val="14"/>
              </w:rPr>
              <w:t>2019 / 2020</w:t>
            </w:r>
          </w:p>
        </w:tc>
        <w:tc>
          <w:tcPr>
            <w:tcW w:type="dxa" w:w="2437"/>
            <w:tcMar>
              <w:top w:w="80" w:type="dxa"/>
              <w:start w:w="80" w:type="dxa"/>
              <w:bottom w:w="80" w:type="dxa"/>
              <w:end w:w="80" w:type="dxa"/>
            </w:tcMar>
            <w:vAlign w:val="top"/>
          </w:tcPr>
          <w:p>
            <w:pPr>
              <w:spacing w:after="0"/>
            </w:pPr>
            <w:r>
              <w:rPr>
                <w:rFonts w:ascii="Aptos" w:hAnsi="Aptos"/>
                <w:sz w:val="14"/>
              </w:rPr>
              <w:t>Udrescu &amp; Tegmark — AI Feynman</w:t>
            </w:r>
          </w:p>
        </w:tc>
        <w:tc>
          <w:tcPr>
            <w:tcW w:type="dxa" w:w="2437"/>
            <w:tcMar>
              <w:top w:w="80" w:type="dxa"/>
              <w:start w:w="80" w:type="dxa"/>
              <w:bottom w:w="80" w:type="dxa"/>
              <w:end w:w="80" w:type="dxa"/>
            </w:tcMar>
            <w:vAlign w:val="top"/>
          </w:tcPr>
          <w:p>
            <w:pPr>
              <w:spacing w:after="0"/>
            </w:pPr>
            <w:r>
              <w:rPr>
                <w:rFonts w:ascii="Aptos" w:hAnsi="Aptos"/>
                <w:sz w:val="14"/>
              </w:rPr>
              <w:t>Physics-inspired symbolic regression discovers equations from data.</w:t>
            </w:r>
          </w:p>
        </w:tc>
        <w:tc>
          <w:tcPr>
            <w:tcW w:type="dxa" w:w="2437"/>
            <w:tcMar>
              <w:top w:w="80" w:type="dxa"/>
              <w:start w:w="80" w:type="dxa"/>
              <w:bottom w:w="80" w:type="dxa"/>
              <w:end w:w="80" w:type="dxa"/>
            </w:tcMar>
            <w:vAlign w:val="top"/>
          </w:tcPr>
          <w:p>
            <w:pPr>
              <w:spacing w:after="0"/>
            </w:pPr>
            <w:r>
              <w:rPr>
                <w:rFonts w:ascii="Aptos" w:hAnsi="Aptos"/>
                <w:sz w:val="14"/>
              </w:rPr>
              <w:t>Blocks broad priority for automatic law/equation discovery.</w:t>
            </w:r>
          </w:p>
        </w:tc>
      </w:tr>
      <w:tr>
        <w:tc>
          <w:tcPr>
            <w:tcW w:type="dxa" w:w="2437"/>
            <w:tcMar>
              <w:top w:w="80" w:type="dxa"/>
              <w:start w:w="80" w:type="dxa"/>
              <w:bottom w:w="80" w:type="dxa"/>
              <w:end w:w="80" w:type="dxa"/>
            </w:tcMar>
            <w:vAlign w:val="top"/>
          </w:tcPr>
          <w:p>
            <w:pPr>
              <w:spacing w:after="0"/>
            </w:pPr>
            <w:r>
              <w:rPr>
                <w:rFonts w:ascii="Aptos" w:hAnsi="Aptos"/>
                <w:sz w:val="14"/>
              </w:rPr>
              <w:t>14 Dec 2023</w:t>
            </w:r>
          </w:p>
        </w:tc>
        <w:tc>
          <w:tcPr>
            <w:tcW w:type="dxa" w:w="2437"/>
            <w:tcMar>
              <w:top w:w="80" w:type="dxa"/>
              <w:start w:w="80" w:type="dxa"/>
              <w:bottom w:w="80" w:type="dxa"/>
              <w:end w:w="80" w:type="dxa"/>
            </w:tcMar>
            <w:vAlign w:val="top"/>
          </w:tcPr>
          <w:p>
            <w:pPr>
              <w:spacing w:after="0"/>
            </w:pPr>
            <w:r>
              <w:rPr>
                <w:rFonts w:ascii="Aptos" w:hAnsi="Aptos"/>
                <w:sz w:val="14"/>
              </w:rPr>
              <w:t>Romera-Paredes et al. — FunSearch</w:t>
            </w:r>
          </w:p>
        </w:tc>
        <w:tc>
          <w:tcPr>
            <w:tcW w:type="dxa" w:w="2437"/>
            <w:tcMar>
              <w:top w:w="80" w:type="dxa"/>
              <w:start w:w="80" w:type="dxa"/>
              <w:bottom w:w="80" w:type="dxa"/>
              <w:end w:w="80" w:type="dxa"/>
            </w:tcMar>
            <w:vAlign w:val="top"/>
          </w:tcPr>
          <w:p>
            <w:pPr>
              <w:spacing w:after="0"/>
            </w:pPr>
            <w:r>
              <w:rPr>
                <w:rFonts w:ascii="Aptos" w:hAnsi="Aptos"/>
                <w:sz w:val="14"/>
              </w:rPr>
              <w:t>Pretrained LLM proposes programs; systematic evaluator and evolutionary loop retain verifiably better candidates.</w:t>
            </w:r>
          </w:p>
        </w:tc>
        <w:tc>
          <w:tcPr>
            <w:tcW w:type="dxa" w:w="2437"/>
            <w:tcMar>
              <w:top w:w="80" w:type="dxa"/>
              <w:start w:w="80" w:type="dxa"/>
              <w:bottom w:w="80" w:type="dxa"/>
              <w:end w:w="80" w:type="dxa"/>
            </w:tcMar>
            <w:vAlign w:val="top"/>
          </w:tcPr>
          <w:p>
            <w:pPr>
              <w:spacing w:after="0"/>
            </w:pPr>
            <w:r>
              <w:rPr>
                <w:rFonts w:ascii="Aptos" w:hAnsi="Aptos"/>
                <w:sz w:val="14"/>
              </w:rPr>
              <w:t>Blocks broad priority for LLM + evaluator discovery.</w:t>
            </w:r>
          </w:p>
        </w:tc>
      </w:tr>
      <w:tr>
        <w:tc>
          <w:tcPr>
            <w:tcW w:type="dxa" w:w="2437"/>
            <w:tcMar>
              <w:top w:w="80" w:type="dxa"/>
              <w:start w:w="80" w:type="dxa"/>
              <w:bottom w:w="80" w:type="dxa"/>
              <w:end w:w="80" w:type="dxa"/>
            </w:tcMar>
            <w:vAlign w:val="top"/>
          </w:tcPr>
          <w:p>
            <w:pPr>
              <w:spacing w:after="0"/>
            </w:pPr>
            <w:r>
              <w:rPr>
                <w:rFonts w:ascii="Aptos" w:hAnsi="Aptos"/>
                <w:sz w:val="14"/>
              </w:rPr>
              <w:t>20 Dec 2023</w:t>
            </w:r>
          </w:p>
        </w:tc>
        <w:tc>
          <w:tcPr>
            <w:tcW w:type="dxa" w:w="2437"/>
            <w:tcMar>
              <w:top w:w="80" w:type="dxa"/>
              <w:start w:w="80" w:type="dxa"/>
              <w:bottom w:w="80" w:type="dxa"/>
              <w:end w:w="80" w:type="dxa"/>
            </w:tcMar>
            <w:vAlign w:val="top"/>
          </w:tcPr>
          <w:p>
            <w:pPr>
              <w:spacing w:after="0"/>
            </w:pPr>
            <w:r>
              <w:rPr>
                <w:rFonts w:ascii="Aptos" w:hAnsi="Aptos"/>
                <w:sz w:val="14"/>
              </w:rPr>
              <w:t>Boiko et al. — Coscientist</w:t>
            </w:r>
          </w:p>
        </w:tc>
        <w:tc>
          <w:tcPr>
            <w:tcW w:type="dxa" w:w="2437"/>
            <w:tcMar>
              <w:top w:w="80" w:type="dxa"/>
              <w:start w:w="80" w:type="dxa"/>
              <w:bottom w:w="80" w:type="dxa"/>
              <w:end w:w="80" w:type="dxa"/>
            </w:tcMar>
            <w:vAlign w:val="top"/>
          </w:tcPr>
          <w:p>
            <w:pPr>
              <w:spacing w:after="0"/>
            </w:pPr>
            <w:r>
              <w:rPr>
                <w:rFonts w:ascii="Aptos" w:hAnsi="Aptos"/>
                <w:sz w:val="14"/>
              </w:rPr>
              <w:t>GPT-4 system plans and performs complex chemistry experiments using search, code and laboratory automation.</w:t>
            </w:r>
          </w:p>
        </w:tc>
        <w:tc>
          <w:tcPr>
            <w:tcW w:type="dxa" w:w="2437"/>
            <w:tcMar>
              <w:top w:w="80" w:type="dxa"/>
              <w:start w:w="80" w:type="dxa"/>
              <w:bottom w:w="80" w:type="dxa"/>
              <w:end w:w="80" w:type="dxa"/>
            </w:tcMar>
            <w:vAlign w:val="top"/>
          </w:tcPr>
          <w:p>
            <w:pPr>
              <w:spacing w:after="0"/>
            </w:pPr>
            <w:r>
              <w:rPr>
                <w:rFonts w:ascii="Aptos" w:hAnsi="Aptos"/>
                <w:sz w:val="14"/>
              </w:rPr>
              <w:t>Blocks broad priority for LLM-driven autonomous experimentation.</w:t>
            </w:r>
          </w:p>
        </w:tc>
      </w:tr>
      <w:tr>
        <w:tc>
          <w:tcPr>
            <w:tcW w:type="dxa" w:w="2437"/>
            <w:tcMar>
              <w:top w:w="80" w:type="dxa"/>
              <w:start w:w="80" w:type="dxa"/>
              <w:bottom w:w="80" w:type="dxa"/>
              <w:end w:w="80" w:type="dxa"/>
            </w:tcMar>
            <w:vAlign w:val="top"/>
          </w:tcPr>
          <w:p>
            <w:pPr>
              <w:spacing w:after="0"/>
            </w:pPr>
            <w:r>
              <w:rPr>
                <w:rFonts w:ascii="Aptos" w:hAnsi="Aptos"/>
                <w:sz w:val="14"/>
              </w:rPr>
              <w:t>12 Aug 2024</w:t>
            </w:r>
          </w:p>
        </w:tc>
        <w:tc>
          <w:tcPr>
            <w:tcW w:type="dxa" w:w="2437"/>
            <w:tcMar>
              <w:top w:w="80" w:type="dxa"/>
              <w:start w:w="80" w:type="dxa"/>
              <w:bottom w:w="80" w:type="dxa"/>
              <w:end w:w="80" w:type="dxa"/>
            </w:tcMar>
            <w:vAlign w:val="top"/>
          </w:tcPr>
          <w:p>
            <w:pPr>
              <w:spacing w:after="0"/>
            </w:pPr>
            <w:r>
              <w:rPr>
                <w:rFonts w:ascii="Aptos" w:hAnsi="Aptos"/>
                <w:sz w:val="14"/>
              </w:rPr>
              <w:t>Lu et al. — The AI Scientist</w:t>
            </w:r>
          </w:p>
        </w:tc>
        <w:tc>
          <w:tcPr>
            <w:tcW w:type="dxa" w:w="2437"/>
            <w:tcMar>
              <w:top w:w="80" w:type="dxa"/>
              <w:start w:w="80" w:type="dxa"/>
              <w:bottom w:w="80" w:type="dxa"/>
              <w:end w:w="80" w:type="dxa"/>
            </w:tcMar>
            <w:vAlign w:val="top"/>
          </w:tcPr>
          <w:p>
            <w:pPr>
              <w:spacing w:after="0"/>
            </w:pPr>
            <w:r>
              <w:rPr>
                <w:rFonts w:ascii="Aptos" w:hAnsi="Aptos"/>
                <w:sz w:val="14"/>
              </w:rPr>
              <w:t>Generates ideas, writes code, executes experiments, writes a paper and performs simulated review.</w:t>
            </w:r>
          </w:p>
        </w:tc>
        <w:tc>
          <w:tcPr>
            <w:tcW w:type="dxa" w:w="2437"/>
            <w:tcMar>
              <w:top w:w="80" w:type="dxa"/>
              <w:start w:w="80" w:type="dxa"/>
              <w:bottom w:w="80" w:type="dxa"/>
              <w:end w:w="80" w:type="dxa"/>
            </w:tcMar>
            <w:vAlign w:val="top"/>
          </w:tcPr>
          <w:p>
            <w:pPr>
              <w:spacing w:after="0"/>
            </w:pPr>
            <w:r>
              <w:rPr>
                <w:rFonts w:ascii="Aptos" w:hAnsi="Aptos"/>
                <w:sz w:val="14"/>
              </w:rPr>
              <w:t>Blocks broad priority for end-to-end autonomous AI research.</w:t>
            </w:r>
          </w:p>
        </w:tc>
      </w:tr>
      <w:tr>
        <w:tc>
          <w:tcPr>
            <w:tcW w:type="dxa" w:w="2437"/>
            <w:tcMar>
              <w:top w:w="80" w:type="dxa"/>
              <w:start w:w="80" w:type="dxa"/>
              <w:bottom w:w="80" w:type="dxa"/>
              <w:end w:w="80" w:type="dxa"/>
            </w:tcMar>
            <w:vAlign w:val="top"/>
          </w:tcPr>
          <w:p>
            <w:pPr>
              <w:spacing w:after="0"/>
            </w:pPr>
            <w:r>
              <w:rPr>
                <w:rFonts w:ascii="Aptos" w:hAnsi="Aptos"/>
                <w:sz w:val="14"/>
              </w:rPr>
              <w:t>14 Feb 2025</w:t>
            </w:r>
          </w:p>
        </w:tc>
        <w:tc>
          <w:tcPr>
            <w:tcW w:type="dxa" w:w="2437"/>
            <w:tcMar>
              <w:top w:w="80" w:type="dxa"/>
              <w:start w:w="80" w:type="dxa"/>
              <w:bottom w:w="80" w:type="dxa"/>
              <w:end w:w="80" w:type="dxa"/>
            </w:tcMar>
            <w:vAlign w:val="top"/>
          </w:tcPr>
          <w:p>
            <w:pPr>
              <w:spacing w:after="0"/>
            </w:pPr>
            <w:r>
              <w:rPr>
                <w:rFonts w:ascii="Aptos" w:hAnsi="Aptos"/>
                <w:sz w:val="14"/>
              </w:rPr>
              <w:t>Huang et al. — POPPER</w:t>
            </w:r>
          </w:p>
        </w:tc>
        <w:tc>
          <w:tcPr>
            <w:tcW w:type="dxa" w:w="2437"/>
            <w:tcMar>
              <w:top w:w="80" w:type="dxa"/>
              <w:start w:w="80" w:type="dxa"/>
              <w:bottom w:w="80" w:type="dxa"/>
              <w:end w:w="80" w:type="dxa"/>
            </w:tcMar>
            <w:vAlign w:val="top"/>
          </w:tcPr>
          <w:p>
            <w:pPr>
              <w:spacing w:after="0"/>
            </w:pPr>
            <w:r>
              <w:rPr>
                <w:rFonts w:ascii="Aptos" w:hAnsi="Aptos"/>
                <w:sz w:val="14"/>
              </w:rPr>
              <w:t>LLM agents design and execute falsification experiments; sequential statistical testing controls Type-I error.</w:t>
            </w:r>
          </w:p>
        </w:tc>
        <w:tc>
          <w:tcPr>
            <w:tcW w:type="dxa" w:w="2437"/>
            <w:tcMar>
              <w:top w:w="80" w:type="dxa"/>
              <w:start w:w="80" w:type="dxa"/>
              <w:bottom w:w="80" w:type="dxa"/>
              <w:end w:w="80" w:type="dxa"/>
            </w:tcMar>
            <w:vAlign w:val="top"/>
          </w:tcPr>
          <w:p>
            <w:pPr>
              <w:spacing w:after="0"/>
            </w:pPr>
            <w:r>
              <w:rPr>
                <w:rFonts w:ascii="Aptos" w:hAnsi="Aptos"/>
                <w:sz w:val="14"/>
              </w:rPr>
              <w:t>Blocks broad priority for automated LLM-agent falsification.</w:t>
            </w:r>
          </w:p>
        </w:tc>
      </w:tr>
      <w:tr>
        <w:tc>
          <w:tcPr>
            <w:tcW w:type="dxa" w:w="2437"/>
            <w:tcMar>
              <w:top w:w="80" w:type="dxa"/>
              <w:start w:w="80" w:type="dxa"/>
              <w:bottom w:w="80" w:type="dxa"/>
              <w:end w:w="80" w:type="dxa"/>
            </w:tcMar>
            <w:vAlign w:val="top"/>
          </w:tcPr>
          <w:p>
            <w:pPr>
              <w:spacing w:after="0"/>
            </w:pPr>
            <w:r>
              <w:rPr>
                <w:rFonts w:ascii="Aptos" w:hAnsi="Aptos"/>
                <w:sz w:val="14"/>
              </w:rPr>
              <w:t>2017 / 2018</w:t>
            </w:r>
          </w:p>
        </w:tc>
        <w:tc>
          <w:tcPr>
            <w:tcW w:type="dxa" w:w="2437"/>
            <w:tcMar>
              <w:top w:w="80" w:type="dxa"/>
              <w:start w:w="80" w:type="dxa"/>
              <w:bottom w:w="80" w:type="dxa"/>
              <w:end w:w="80" w:type="dxa"/>
            </w:tcMar>
            <w:vAlign w:val="top"/>
          </w:tcPr>
          <w:p>
            <w:pPr>
              <w:spacing w:after="0"/>
            </w:pPr>
            <w:r>
              <w:rPr>
                <w:rFonts w:ascii="Aptos" w:hAnsi="Aptos"/>
                <w:sz w:val="14"/>
              </w:rPr>
              <w:t>Alshiekh et al. — Safe RL via Shielding</w:t>
            </w:r>
          </w:p>
        </w:tc>
        <w:tc>
          <w:tcPr>
            <w:tcW w:type="dxa" w:w="2437"/>
            <w:tcMar>
              <w:top w:w="80" w:type="dxa"/>
              <w:start w:w="80" w:type="dxa"/>
              <w:bottom w:w="80" w:type="dxa"/>
              <w:end w:w="80" w:type="dxa"/>
            </w:tcMar>
            <w:vAlign w:val="top"/>
          </w:tcPr>
          <w:p>
            <w:pPr>
              <w:spacing w:after="0"/>
            </w:pPr>
            <w:r>
              <w:rPr>
                <w:rFonts w:ascii="Aptos" w:hAnsi="Aptos"/>
                <w:sz w:val="14"/>
              </w:rPr>
              <w:t>A formal shield blocks or replaces actions that violate temporal-logic safety specifications.</w:t>
            </w:r>
          </w:p>
        </w:tc>
        <w:tc>
          <w:tcPr>
            <w:tcW w:type="dxa" w:w="2437"/>
            <w:tcMar>
              <w:top w:w="80" w:type="dxa"/>
              <w:start w:w="80" w:type="dxa"/>
              <w:bottom w:w="80" w:type="dxa"/>
              <w:end w:w="80" w:type="dxa"/>
            </w:tcMar>
            <w:vAlign w:val="top"/>
          </w:tcPr>
          <w:p>
            <w:pPr>
              <w:spacing w:after="0"/>
            </w:pPr>
            <w:r>
              <w:rPr>
                <w:rFonts w:ascii="Aptos" w:hAnsi="Aptos"/>
                <w:sz w:val="14"/>
              </w:rPr>
              <w:t>Blocks broad priority for an external formal gate that can veto model actions.</w:t>
            </w:r>
          </w:p>
        </w:tc>
      </w:tr>
      <w:tr>
        <w:tc>
          <w:tcPr>
            <w:tcW w:type="dxa" w:w="2437"/>
            <w:tcMar>
              <w:top w:w="80" w:type="dxa"/>
              <w:start w:w="80" w:type="dxa"/>
              <w:bottom w:w="80" w:type="dxa"/>
              <w:end w:w="80" w:type="dxa"/>
            </w:tcMar>
            <w:vAlign w:val="top"/>
          </w:tcPr>
          <w:p>
            <w:pPr>
              <w:spacing w:after="0"/>
            </w:pPr>
            <w:r>
              <w:rPr>
                <w:rFonts w:ascii="Aptos" w:hAnsi="Aptos"/>
                <w:sz w:val="14"/>
              </w:rPr>
              <w:t>1966 / 1968 onward</w:t>
            </w:r>
          </w:p>
        </w:tc>
        <w:tc>
          <w:tcPr>
            <w:tcW w:type="dxa" w:w="2437"/>
            <w:tcMar>
              <w:top w:w="80" w:type="dxa"/>
              <w:start w:w="80" w:type="dxa"/>
              <w:bottom w:w="80" w:type="dxa"/>
              <w:end w:w="80" w:type="dxa"/>
            </w:tcMar>
            <w:vAlign w:val="top"/>
          </w:tcPr>
          <w:p>
            <w:pPr>
              <w:spacing w:after="0"/>
            </w:pPr>
            <w:r>
              <w:rPr>
                <w:rFonts w:ascii="Aptos" w:hAnsi="Aptos"/>
                <w:sz w:val="14"/>
              </w:rPr>
              <w:t>ELECTRE outranking family</w:t>
            </w:r>
          </w:p>
        </w:tc>
        <w:tc>
          <w:tcPr>
            <w:tcW w:type="dxa" w:w="2437"/>
            <w:tcMar>
              <w:top w:w="80" w:type="dxa"/>
              <w:start w:w="80" w:type="dxa"/>
              <w:bottom w:w="80" w:type="dxa"/>
              <w:end w:w="80" w:type="dxa"/>
            </w:tcMar>
            <w:vAlign w:val="top"/>
          </w:tcPr>
          <w:p>
            <w:pPr>
              <w:spacing w:after="0"/>
            </w:pPr>
            <w:r>
              <w:rPr>
                <w:rFonts w:ascii="Aptos" w:hAnsi="Aptos"/>
                <w:sz w:val="14"/>
              </w:rPr>
              <w:t>Classical multicriteria decision line with non-compensatory logic and veto thresholds.</w:t>
            </w:r>
          </w:p>
        </w:tc>
        <w:tc>
          <w:tcPr>
            <w:tcW w:type="dxa" w:w="2437"/>
            <w:tcMar>
              <w:top w:w="80" w:type="dxa"/>
              <w:start w:w="80" w:type="dxa"/>
              <w:bottom w:w="80" w:type="dxa"/>
              <w:end w:w="80" w:type="dxa"/>
            </w:tcMar>
            <w:vAlign w:val="top"/>
          </w:tcPr>
          <w:p>
            <w:pPr>
              <w:spacing w:after="0"/>
            </w:pPr>
            <w:r>
              <w:rPr>
                <w:rFonts w:ascii="Aptos" w:hAnsi="Aptos"/>
                <w:sz w:val="14"/>
              </w:rPr>
              <w:t>Blocks broad priority for non-compensatory multicriteria veto as a concept.</w:t>
            </w:r>
          </w:p>
        </w:tc>
      </w:tr>
    </w:tbl>
    <w:p>
      <w:pPr>
        <w:pStyle w:val="Heading2"/>
        <w:keepNext/>
        <w:keepLines/>
      </w:pPr>
      <w:r>
        <w:t>28.1 Why POPPER is the closest methodological constraint in this pass</w:t>
      </w:r>
    </w:p>
    <w:p>
      <w:pPr>
        <w:spacing w:after="80"/>
      </w:pPr>
      <w:r>
        <w:rPr>
          <w:rFonts w:ascii="Aptos" w:hAnsi="Aptos"/>
          <w:sz w:val="19"/>
        </w:rPr>
        <w:t>POPPER is not merely an LLM used for brainstorming. Its stated object is automated validation of free-form hypotheses by agentic sequential falsifications. LLM agents operationalize measurable implications, design and execute falsification experiments, and a sequential testing framework controls false-positive risk. This is methodologically closer to Zoran’s 2026 “LLM + falsification” narrative than generic AI-science systems.</w:t>
      </w:r>
    </w:p>
    <w:p>
      <w:pPr>
        <w:spacing w:after="80"/>
      </w:pPr>
      <w:r>
        <w:rPr>
          <w:rFonts w:ascii="Aptos" w:hAnsi="Aptos"/>
          <w:sz w:val="19"/>
        </w:rPr>
        <w:t>CERTIFICATE P5-POP-001 — NO BROAD PRIORITY. Because POPPER is publicly dated 14 February 2025, Zoran cannot defensibly claim to have introduced automated falsification by LLM agents as a general method. Any Zoran claim must be narrower: for example, a particular coherence/admissibility gate, multi-frame rule, proof-chain architecture, or non-compensatory decision schema.</w:t>
      </w:r>
    </w:p>
    <w:p>
      <w:pPr>
        <w:spacing w:after="80"/>
      </w:pPr>
      <w:r>
        <w:rPr>
          <w:rFonts w:ascii="Aptos" w:hAnsi="Aptos"/>
          <w:sz w:val="19"/>
        </w:rPr>
        <w:t>NON-EQUIVALENCE — POPPER and Zoran do not compute the same object. POPPER formalizes statistical hypothesis validation and Type-I error control; Zoran’s core public line evaluates structural/phenomenal admissibility through declared frames, proxies and coherence metrics. Similar scientific intent does not imply E0/E1 mathematical identity.</w:t>
      </w:r>
    </w:p>
    <w:p>
      <w:pPr>
        <w:pStyle w:val="Heading1"/>
        <w:keepNext/>
        <w:keepLines/>
      </w:pPr>
      <w:r>
        <w:t>29. Zoran internal AI-science stack — code, manifests, protocols and documentary gaps</w:t>
      </w:r>
    </w:p>
    <w:tbl>
      <w:tblPr>
        <w:tblStyle w:val="TableGrid"/>
        <w:tblW w:type="auto" w:w="0"/>
        <w:jc w:val="center"/>
        <w:tblLook w:firstColumn="1" w:firstRow="1" w:lastColumn="0" w:lastRow="0" w:noHBand="0" w:noVBand="1" w:val="04A0"/>
      </w:tblPr>
      <w:tblGrid>
        <w:gridCol w:w="2437"/>
        <w:gridCol w:w="2437"/>
        <w:gridCol w:w="2437"/>
        <w:gridCol w:w="2437"/>
      </w:tblGrid>
      <w:tr>
        <w:trPr>
          <w:tblHeader w:val="true"/>
        </w:trPr>
        <w:tc>
          <w:tcPr>
            <w:tcW w:type="dxa" w:w="2437"/>
            <w:shd w:fill="D9EAF7"/>
            <w:vAlign w:val="center"/>
            <w:tcMar>
              <w:top w:w="80" w:type="dxa"/>
              <w:start w:w="80" w:type="dxa"/>
              <w:bottom w:w="80" w:type="dxa"/>
              <w:end w:w="80" w:type="dxa"/>
            </w:tcMar>
          </w:tcPr>
          <w:p>
            <w:pPr>
              <w:jc w:val="center"/>
            </w:pPr>
            <w:r>
              <w:rPr>
                <w:rFonts w:ascii="Aptos" w:hAnsi="Aptos"/>
                <w:b/>
                <w:sz w:val="14"/>
              </w:rPr>
              <w:t>Zoran artefact</w:t>
            </w:r>
          </w:p>
        </w:tc>
        <w:tc>
          <w:tcPr>
            <w:tcW w:type="dxa" w:w="2437"/>
            <w:shd w:fill="D9EAF7"/>
            <w:vAlign w:val="center"/>
            <w:tcMar>
              <w:top w:w="80" w:type="dxa"/>
              <w:start w:w="80" w:type="dxa"/>
              <w:bottom w:w="80" w:type="dxa"/>
              <w:end w:w="80" w:type="dxa"/>
            </w:tcMar>
          </w:tcPr>
          <w:p>
            <w:pPr>
              <w:jc w:val="center"/>
            </w:pPr>
            <w:r>
              <w:rPr>
                <w:rFonts w:ascii="Aptos" w:hAnsi="Aptos"/>
                <w:b/>
                <w:sz w:val="14"/>
              </w:rPr>
              <w:t>Role</w:t>
            </w:r>
          </w:p>
        </w:tc>
        <w:tc>
          <w:tcPr>
            <w:tcW w:type="dxa" w:w="2437"/>
            <w:shd w:fill="D9EAF7"/>
            <w:vAlign w:val="center"/>
            <w:tcMar>
              <w:top w:w="80" w:type="dxa"/>
              <w:start w:w="80" w:type="dxa"/>
              <w:bottom w:w="80" w:type="dxa"/>
              <w:end w:w="80" w:type="dxa"/>
            </w:tcMar>
          </w:tcPr>
          <w:p>
            <w:pPr>
              <w:jc w:val="center"/>
            </w:pPr>
            <w:r>
              <w:rPr>
                <w:rFonts w:ascii="Aptos" w:hAnsi="Aptos"/>
                <w:b/>
                <w:sz w:val="14"/>
              </w:rPr>
              <w:t>Evidence status</w:t>
            </w:r>
          </w:p>
        </w:tc>
        <w:tc>
          <w:tcPr>
            <w:tcW w:type="dxa" w:w="2437"/>
            <w:shd w:fill="D9EAF7"/>
            <w:vAlign w:val="center"/>
            <w:tcMar>
              <w:top w:w="80" w:type="dxa"/>
              <w:start w:w="80" w:type="dxa"/>
              <w:bottom w:w="80" w:type="dxa"/>
              <w:end w:w="80" w:type="dxa"/>
            </w:tcMar>
          </w:tcPr>
          <w:p>
            <w:pPr>
              <w:jc w:val="center"/>
            </w:pPr>
            <w:r>
              <w:rPr>
                <w:rFonts w:ascii="Aptos" w:hAnsi="Aptos"/>
                <w:b/>
                <w:sz w:val="14"/>
              </w:rPr>
              <w:t>Pass-5 finding</w:t>
            </w:r>
          </w:p>
        </w:tc>
      </w:tr>
      <w:tr>
        <w:tc>
          <w:tcPr>
            <w:tcW w:type="dxa" w:w="2437"/>
            <w:tcMar>
              <w:top w:w="80" w:type="dxa"/>
              <w:start w:w="80" w:type="dxa"/>
              <w:bottom w:w="80" w:type="dxa"/>
              <w:end w:w="80" w:type="dxa"/>
            </w:tcMar>
            <w:vAlign w:val="top"/>
          </w:tcPr>
          <w:p>
            <w:pPr>
              <w:spacing w:after="0"/>
            </w:pPr>
            <w:r>
              <w:rPr>
                <w:rFonts w:ascii="Aptos" w:hAnsi="Aptos"/>
                <w:sz w:val="14"/>
              </w:rPr>
              <w:t>17559007 / code mirrored in 17559449</w:t>
            </w:r>
          </w:p>
        </w:tc>
        <w:tc>
          <w:tcPr>
            <w:tcW w:type="dxa" w:w="2437"/>
            <w:tcMar>
              <w:top w:w="80" w:type="dxa"/>
              <w:start w:w="80" w:type="dxa"/>
              <w:bottom w:w="80" w:type="dxa"/>
              <w:end w:w="80" w:type="dxa"/>
            </w:tcMar>
            <w:vAlign w:val="top"/>
          </w:tcPr>
          <w:p>
            <w:pPr>
              <w:spacing w:after="0"/>
            </w:pPr>
            <w:r>
              <w:rPr>
                <w:rFonts w:ascii="Aptos" w:hAnsi="Aptos"/>
                <w:sz w:val="14"/>
              </w:rPr>
              <w:t>Unified Discovery Engine Ω7.3</w:t>
            </w:r>
          </w:p>
        </w:tc>
        <w:tc>
          <w:tcPr>
            <w:tcW w:type="dxa" w:w="2437"/>
            <w:tcMar>
              <w:top w:w="80" w:type="dxa"/>
              <w:start w:w="80" w:type="dxa"/>
              <w:bottom w:w="80" w:type="dxa"/>
              <w:end w:w="80" w:type="dxa"/>
            </w:tcMar>
            <w:vAlign w:val="top"/>
          </w:tcPr>
          <w:p>
            <w:pPr>
              <w:spacing w:after="0"/>
            </w:pPr>
            <w:r>
              <w:rPr>
                <w:rFonts w:ascii="Aptos" w:hAnsi="Aptos"/>
                <w:sz w:val="14"/>
              </w:rPr>
              <w:t>VERIFIED CODE</w:t>
            </w:r>
          </w:p>
        </w:tc>
        <w:tc>
          <w:tcPr>
            <w:tcW w:type="dxa" w:w="2437"/>
            <w:tcMar>
              <w:top w:w="80" w:type="dxa"/>
              <w:start w:w="80" w:type="dxa"/>
              <w:bottom w:w="80" w:type="dxa"/>
              <w:end w:w="80" w:type="dxa"/>
            </w:tcMar>
            <w:vAlign w:val="top"/>
          </w:tcPr>
          <w:p>
            <w:pPr>
              <w:spacing w:after="0"/>
            </w:pPr>
            <w:r>
              <w:rPr>
                <w:rFonts w:ascii="Aptos" w:hAnsi="Aptos"/>
                <w:sz w:val="14"/>
              </w:rPr>
              <w:t>Recovered executable computes S=(β·ΔC)/λ over randomized parameter samples and returns summary statistics. It does not, in the recovered code, implement an autonomous hypothesis→experiment→falsification→paper loop.</w:t>
            </w:r>
          </w:p>
        </w:tc>
      </w:tr>
      <w:tr>
        <w:tc>
          <w:tcPr>
            <w:tcW w:type="dxa" w:w="2437"/>
            <w:tcMar>
              <w:top w:w="80" w:type="dxa"/>
              <w:start w:w="80" w:type="dxa"/>
              <w:bottom w:w="80" w:type="dxa"/>
              <w:end w:w="80" w:type="dxa"/>
            </w:tcMar>
            <w:vAlign w:val="top"/>
          </w:tcPr>
          <w:p>
            <w:pPr>
              <w:spacing w:after="0"/>
            </w:pPr>
            <w:r>
              <w:rPr>
                <w:rFonts w:ascii="Aptos" w:hAnsi="Aptos"/>
                <w:sz w:val="14"/>
              </w:rPr>
              <w:t>17571503 / mirror folder 17571502</w:t>
            </w:r>
          </w:p>
        </w:tc>
        <w:tc>
          <w:tcPr>
            <w:tcW w:type="dxa" w:w="2437"/>
            <w:tcMar>
              <w:top w:w="80" w:type="dxa"/>
              <w:start w:w="80" w:type="dxa"/>
              <w:bottom w:w="80" w:type="dxa"/>
              <w:end w:w="80" w:type="dxa"/>
            </w:tcMar>
            <w:vAlign w:val="top"/>
          </w:tcPr>
          <w:p>
            <w:pPr>
              <w:spacing w:after="0"/>
            </w:pPr>
            <w:r>
              <w:rPr>
                <w:rFonts w:ascii="Aptos" w:hAnsi="Aptos"/>
                <w:sz w:val="14"/>
              </w:rPr>
              <w:t>GHUC Ω8 open-science suite</w:t>
            </w:r>
          </w:p>
        </w:tc>
        <w:tc>
          <w:tcPr>
            <w:tcW w:type="dxa" w:w="2437"/>
            <w:tcMar>
              <w:top w:w="80" w:type="dxa"/>
              <w:start w:w="80" w:type="dxa"/>
              <w:bottom w:w="80" w:type="dxa"/>
              <w:end w:w="80" w:type="dxa"/>
            </w:tcMar>
            <w:vAlign w:val="top"/>
          </w:tcPr>
          <w:p>
            <w:pPr>
              <w:spacing w:after="0"/>
            </w:pPr>
            <w:r>
              <w:rPr>
                <w:rFonts w:ascii="Aptos" w:hAnsi="Aptos"/>
                <w:sz w:val="14"/>
              </w:rPr>
              <w:t>VERIFIED MANIFEST</w:t>
            </w:r>
          </w:p>
        </w:tc>
        <w:tc>
          <w:tcPr>
            <w:tcW w:type="dxa" w:w="2437"/>
            <w:tcMar>
              <w:top w:w="80" w:type="dxa"/>
              <w:start w:w="80" w:type="dxa"/>
              <w:bottom w:w="80" w:type="dxa"/>
              <w:end w:w="80" w:type="dxa"/>
            </w:tcMar>
            <w:vAlign w:val="top"/>
          </w:tcPr>
          <w:p>
            <w:pPr>
              <w:spacing w:after="0"/>
            </w:pPr>
            <w:r>
              <w:rPr>
                <w:rFonts w:ascii="Aptos" w:hAnsi="Aptos"/>
                <w:sz w:val="14"/>
              </w:rPr>
              <w:t>Manifest dated 2025-11-10 names ΔPOLYMORPH_ENGINE_Ω8 “Discovery &amp; Falsification”, ProofChain artefacts, reproducibility seeds and multiple engine DOIs. Module names are evidence of architecture, not by themselves proof of each runtime behavior.</w:t>
            </w:r>
          </w:p>
        </w:tc>
      </w:tr>
      <w:tr>
        <w:tc>
          <w:tcPr>
            <w:tcW w:type="dxa" w:w="2437"/>
            <w:tcMar>
              <w:top w:w="80" w:type="dxa"/>
              <w:start w:w="80" w:type="dxa"/>
              <w:bottom w:w="80" w:type="dxa"/>
              <w:end w:w="80" w:type="dxa"/>
            </w:tcMar>
            <w:vAlign w:val="top"/>
          </w:tcPr>
          <w:p>
            <w:pPr>
              <w:spacing w:after="0"/>
            </w:pPr>
            <w:r>
              <w:rPr>
                <w:rFonts w:ascii="Aptos" w:hAnsi="Aptos"/>
                <w:sz w:val="14"/>
              </w:rPr>
              <w:t>17609005</w:t>
            </w:r>
          </w:p>
        </w:tc>
        <w:tc>
          <w:tcPr>
            <w:tcW w:type="dxa" w:w="2437"/>
            <w:tcMar>
              <w:top w:w="80" w:type="dxa"/>
              <w:start w:w="80" w:type="dxa"/>
              <w:bottom w:w="80" w:type="dxa"/>
              <w:end w:w="80" w:type="dxa"/>
            </w:tcMar>
            <w:vAlign w:val="top"/>
          </w:tcPr>
          <w:p>
            <w:pPr>
              <w:spacing w:after="0"/>
            </w:pPr>
            <w:r>
              <w:rPr>
                <w:rFonts w:ascii="Aptos" w:hAnsi="Aptos"/>
                <w:sz w:val="14"/>
              </w:rPr>
              <w:t>ZBench Ω9</w:t>
            </w:r>
          </w:p>
        </w:tc>
        <w:tc>
          <w:tcPr>
            <w:tcW w:type="dxa" w:w="2437"/>
            <w:tcMar>
              <w:top w:w="80" w:type="dxa"/>
              <w:start w:w="80" w:type="dxa"/>
              <w:bottom w:w="80" w:type="dxa"/>
              <w:end w:w="80" w:type="dxa"/>
            </w:tcMar>
            <w:vAlign w:val="top"/>
          </w:tcPr>
          <w:p>
            <w:pPr>
              <w:spacing w:after="0"/>
            </w:pPr>
            <w:r>
              <w:rPr>
                <w:rFonts w:ascii="Aptos" w:hAnsi="Aptos"/>
                <w:sz w:val="14"/>
              </w:rPr>
              <w:t>VERIFIED DOCUMENT / MULTI-AI PROTOCOL</w:t>
            </w:r>
          </w:p>
        </w:tc>
        <w:tc>
          <w:tcPr>
            <w:tcW w:type="dxa" w:w="2437"/>
            <w:tcMar>
              <w:top w:w="80" w:type="dxa"/>
              <w:start w:w="80" w:type="dxa"/>
              <w:bottom w:w="80" w:type="dxa"/>
              <w:end w:w="80" w:type="dxa"/>
            </w:tcMar>
            <w:vAlign w:val="top"/>
          </w:tcPr>
          <w:p>
            <w:pPr>
              <w:spacing w:after="0"/>
            </w:pPr>
            <w:r>
              <w:rPr>
                <w:rFonts w:ascii="Aptos" w:hAnsi="Aptos"/>
                <w:sz w:val="14"/>
              </w:rPr>
              <w:t>English package describes 11 AI systems, seven mandatory quantitative tests, a ΔRedTeam layer, veto teams, audit JSON and SHA-based traces. The same document notes reproducibility only up to model nondeterminism.</w:t>
            </w:r>
          </w:p>
        </w:tc>
      </w:tr>
      <w:tr>
        <w:tc>
          <w:tcPr>
            <w:tcW w:type="dxa" w:w="2437"/>
            <w:tcMar>
              <w:top w:w="80" w:type="dxa"/>
              <w:start w:w="80" w:type="dxa"/>
              <w:bottom w:w="80" w:type="dxa"/>
              <w:end w:w="80" w:type="dxa"/>
            </w:tcMar>
            <w:vAlign w:val="top"/>
          </w:tcPr>
          <w:p>
            <w:pPr>
              <w:spacing w:after="0"/>
            </w:pPr>
            <w:r>
              <w:rPr>
                <w:rFonts w:ascii="Aptos" w:hAnsi="Aptos"/>
                <w:sz w:val="14"/>
              </w:rPr>
              <w:t>17804030</w:t>
            </w:r>
          </w:p>
        </w:tc>
        <w:tc>
          <w:tcPr>
            <w:tcW w:type="dxa" w:w="2437"/>
            <w:tcMar>
              <w:top w:w="80" w:type="dxa"/>
              <w:start w:w="80" w:type="dxa"/>
              <w:bottom w:w="80" w:type="dxa"/>
              <w:end w:w="80" w:type="dxa"/>
            </w:tcMar>
            <w:vAlign w:val="top"/>
          </w:tcPr>
          <w:p>
            <w:pPr>
              <w:spacing w:after="0"/>
            </w:pPr>
            <w:r>
              <w:rPr>
                <w:rFonts w:ascii="Aptos" w:hAnsi="Aptos"/>
                <w:sz w:val="14"/>
              </w:rPr>
              <w:t>Distributed falsification white paper</w:t>
            </w:r>
          </w:p>
        </w:tc>
        <w:tc>
          <w:tcPr>
            <w:tcW w:type="dxa" w:w="2437"/>
            <w:tcMar>
              <w:top w:w="80" w:type="dxa"/>
              <w:start w:w="80" w:type="dxa"/>
              <w:bottom w:w="80" w:type="dxa"/>
              <w:end w:w="80" w:type="dxa"/>
            </w:tcMar>
            <w:vAlign w:val="top"/>
          </w:tcPr>
          <w:p>
            <w:pPr>
              <w:spacing w:after="0"/>
            </w:pPr>
            <w:r>
              <w:rPr>
                <w:rFonts w:ascii="Aptos" w:hAnsi="Aptos"/>
                <w:sz w:val="14"/>
              </w:rPr>
              <w:t>PARTIAL / PRIMARY DOCX EXISTS</w:t>
            </w:r>
          </w:p>
        </w:tc>
        <w:tc>
          <w:tcPr>
            <w:tcW w:type="dxa" w:w="2437"/>
            <w:tcMar>
              <w:top w:w="80" w:type="dxa"/>
              <w:start w:w="80" w:type="dxa"/>
              <w:bottom w:w="80" w:type="dxa"/>
              <w:end w:w="80" w:type="dxa"/>
            </w:tcMar>
            <w:vAlign w:val="top"/>
          </w:tcPr>
          <w:p>
            <w:pPr>
              <w:spacing w:after="0"/>
            </w:pPr>
            <w:r>
              <w:rPr>
                <w:rFonts w:ascii="Aptos" w:hAnsi="Aptos"/>
                <w:sz w:val="14"/>
              </w:rPr>
              <w:t>A binary primary Word artefact exists in the public books repository, and public author descriptions call it an executable/distributed falsification white paper. Full code-level certification of this binary artefact remains PENDING in Pass 5.</w:t>
            </w:r>
          </w:p>
        </w:tc>
      </w:tr>
      <w:tr>
        <w:tc>
          <w:tcPr>
            <w:tcW w:type="dxa" w:w="2437"/>
            <w:tcMar>
              <w:top w:w="80" w:type="dxa"/>
              <w:start w:w="80" w:type="dxa"/>
              <w:bottom w:w="80" w:type="dxa"/>
              <w:end w:w="80" w:type="dxa"/>
            </w:tcMar>
            <w:vAlign w:val="top"/>
          </w:tcPr>
          <w:p>
            <w:pPr>
              <w:spacing w:after="0"/>
            </w:pPr>
            <w:r>
              <w:rPr>
                <w:rFonts w:ascii="Aptos" w:hAnsi="Aptos"/>
                <w:sz w:val="14"/>
              </w:rPr>
              <w:t>18497598</w:t>
            </w:r>
          </w:p>
        </w:tc>
        <w:tc>
          <w:tcPr>
            <w:tcW w:type="dxa" w:w="2437"/>
            <w:tcMar>
              <w:top w:w="80" w:type="dxa"/>
              <w:start w:w="80" w:type="dxa"/>
              <w:bottom w:w="80" w:type="dxa"/>
              <w:end w:w="80" w:type="dxa"/>
            </w:tcMar>
            <w:vAlign w:val="top"/>
          </w:tcPr>
          <w:p>
            <w:pPr>
              <w:spacing w:after="0"/>
            </w:pPr>
            <w:r>
              <w:rPr>
                <w:rFonts w:ascii="Aptos" w:hAnsi="Aptos"/>
                <w:sz w:val="14"/>
              </w:rPr>
              <w:t>“La falsification devient possible maintenant, grâce aux LLM…”</w:t>
            </w:r>
          </w:p>
        </w:tc>
        <w:tc>
          <w:tcPr>
            <w:tcW w:type="dxa" w:w="2437"/>
            <w:tcMar>
              <w:top w:w="80" w:type="dxa"/>
              <w:start w:w="80" w:type="dxa"/>
              <w:bottom w:w="80" w:type="dxa"/>
              <w:end w:w="80" w:type="dxa"/>
            </w:tcMar>
            <w:vAlign w:val="top"/>
          </w:tcPr>
          <w:p>
            <w:pPr>
              <w:spacing w:after="0"/>
            </w:pPr>
            <w:r>
              <w:rPr>
                <w:rFonts w:ascii="Aptos" w:hAnsi="Aptos"/>
                <w:sz w:val="14"/>
              </w:rPr>
              <w:t>PUBLIC DESCRIPTION VERIFIED</w:t>
            </w:r>
          </w:p>
        </w:tc>
        <w:tc>
          <w:tcPr>
            <w:tcW w:type="dxa" w:w="2437"/>
            <w:tcMar>
              <w:top w:w="80" w:type="dxa"/>
              <w:start w:w="80" w:type="dxa"/>
              <w:bottom w:w="80" w:type="dxa"/>
              <w:end w:w="80" w:type="dxa"/>
            </w:tcMar>
            <w:vAlign w:val="top"/>
          </w:tcPr>
          <w:p>
            <w:pPr>
              <w:spacing w:after="0"/>
            </w:pPr>
            <w:r>
              <w:rPr>
                <w:rFonts w:ascii="Aptos" w:hAnsi="Aptos"/>
                <w:sz w:val="14"/>
              </w:rPr>
              <w:t>Public text explicitly distinguishes exploration from falsification and requires an explicit, traceable, reproducible decision rule. This is later than POPPER and therefore cannot carry broad LLM-falsification priority.</w:t>
            </w:r>
          </w:p>
        </w:tc>
      </w:tr>
      <w:tr>
        <w:tc>
          <w:tcPr>
            <w:tcW w:type="dxa" w:w="2437"/>
            <w:tcMar>
              <w:top w:w="80" w:type="dxa"/>
              <w:start w:w="80" w:type="dxa"/>
              <w:bottom w:w="80" w:type="dxa"/>
              <w:end w:w="80" w:type="dxa"/>
            </w:tcMar>
            <w:vAlign w:val="top"/>
          </w:tcPr>
          <w:p>
            <w:pPr>
              <w:spacing w:after="0"/>
            </w:pPr>
            <w:r>
              <w:rPr>
                <w:rFonts w:ascii="Aptos" w:hAnsi="Aptos"/>
                <w:sz w:val="14"/>
              </w:rPr>
              <w:t>18499943</w:t>
            </w:r>
          </w:p>
        </w:tc>
        <w:tc>
          <w:tcPr>
            <w:tcW w:type="dxa" w:w="2437"/>
            <w:tcMar>
              <w:top w:w="80" w:type="dxa"/>
              <w:start w:w="80" w:type="dxa"/>
              <w:bottom w:w="80" w:type="dxa"/>
              <w:end w:w="80" w:type="dxa"/>
            </w:tcMar>
            <w:vAlign w:val="top"/>
          </w:tcPr>
          <w:p>
            <w:pPr>
              <w:spacing w:after="0"/>
            </w:pPr>
            <w:r>
              <w:rPr>
                <w:rFonts w:ascii="Aptos" w:hAnsi="Aptos"/>
                <w:sz w:val="14"/>
              </w:rPr>
              <w:t>AI-assisted scientific production under a coherence constraint</w:t>
            </w:r>
          </w:p>
        </w:tc>
        <w:tc>
          <w:tcPr>
            <w:tcW w:type="dxa" w:w="2437"/>
            <w:tcMar>
              <w:top w:w="80" w:type="dxa"/>
              <w:start w:w="80" w:type="dxa"/>
              <w:bottom w:w="80" w:type="dxa"/>
              <w:end w:w="80" w:type="dxa"/>
            </w:tcMar>
            <w:vAlign w:val="top"/>
          </w:tcPr>
          <w:p>
            <w:pPr>
              <w:spacing w:after="0"/>
            </w:pPr>
            <w:r>
              <w:rPr>
                <w:rFonts w:ascii="Aptos" w:hAnsi="Aptos"/>
                <w:sz w:val="14"/>
              </w:rPr>
              <w:t>TITLE / PUBLIC DESCRIPTION VERIFIED</w:t>
            </w:r>
          </w:p>
        </w:tc>
        <w:tc>
          <w:tcPr>
            <w:tcW w:type="dxa" w:w="2437"/>
            <w:tcMar>
              <w:top w:w="80" w:type="dxa"/>
              <w:start w:w="80" w:type="dxa"/>
              <w:bottom w:w="80" w:type="dxa"/>
              <w:end w:w="80" w:type="dxa"/>
            </w:tcMar>
            <w:vAlign w:val="top"/>
          </w:tcPr>
          <w:p>
            <w:pPr>
              <w:spacing w:after="0"/>
            </w:pPr>
            <w:r>
              <w:rPr>
                <w:rFonts w:ascii="Aptos" w:hAnsi="Aptos"/>
                <w:sz w:val="14"/>
              </w:rPr>
              <w:t>Public index describes formulation, test and implementation of a coherence constraint for AI-assisted scientific production. Exact primary equations and implementation details remain PENDING in this pass.</w:t>
            </w:r>
          </w:p>
        </w:tc>
      </w:tr>
      <w:tr>
        <w:tc>
          <w:tcPr>
            <w:tcW w:type="dxa" w:w="2437"/>
            <w:tcMar>
              <w:top w:w="80" w:type="dxa"/>
              <w:start w:w="80" w:type="dxa"/>
              <w:bottom w:w="80" w:type="dxa"/>
              <w:end w:w="80" w:type="dxa"/>
            </w:tcMar>
            <w:vAlign w:val="top"/>
          </w:tcPr>
          <w:p>
            <w:pPr>
              <w:spacing w:after="0"/>
            </w:pPr>
            <w:r>
              <w:rPr>
                <w:rFonts w:ascii="Aptos" w:hAnsi="Aptos"/>
                <w:sz w:val="14"/>
              </w:rPr>
              <w:t>18500363</w:t>
            </w:r>
          </w:p>
        </w:tc>
        <w:tc>
          <w:tcPr>
            <w:tcW w:type="dxa" w:w="2437"/>
            <w:tcMar>
              <w:top w:w="80" w:type="dxa"/>
              <w:start w:w="80" w:type="dxa"/>
              <w:bottom w:w="80" w:type="dxa"/>
              <w:end w:w="80" w:type="dxa"/>
            </w:tcMar>
            <w:vAlign w:val="top"/>
          </w:tcPr>
          <w:p>
            <w:pPr>
              <w:spacing w:after="0"/>
            </w:pPr>
            <w:r>
              <w:rPr>
                <w:rFonts w:ascii="Aptos" w:hAnsi="Aptos"/>
                <w:sz w:val="14"/>
              </w:rPr>
              <w:t>Output-only structural admissibility for AI outputs</w:t>
            </w:r>
          </w:p>
        </w:tc>
        <w:tc>
          <w:tcPr>
            <w:tcW w:type="dxa" w:w="2437"/>
            <w:tcMar>
              <w:top w:w="80" w:type="dxa"/>
              <w:start w:w="80" w:type="dxa"/>
              <w:bottom w:w="80" w:type="dxa"/>
              <w:end w:w="80" w:type="dxa"/>
            </w:tcMar>
            <w:vAlign w:val="top"/>
          </w:tcPr>
          <w:p>
            <w:pPr>
              <w:spacing w:after="0"/>
            </w:pPr>
            <w:r>
              <w:rPr>
                <w:rFonts w:ascii="Aptos" w:hAnsi="Aptos"/>
                <w:sz w:val="14"/>
              </w:rPr>
              <w:t>TITLE VERIFIED</w:t>
            </w:r>
          </w:p>
        </w:tc>
        <w:tc>
          <w:tcPr>
            <w:tcW w:type="dxa" w:w="2437"/>
            <w:tcMar>
              <w:top w:w="80" w:type="dxa"/>
              <w:start w:w="80" w:type="dxa"/>
              <w:bottom w:w="80" w:type="dxa"/>
              <w:end w:w="80" w:type="dxa"/>
            </w:tcMar>
            <w:vAlign w:val="top"/>
          </w:tcPr>
          <w:p>
            <w:pPr>
              <w:spacing w:after="0"/>
            </w:pPr>
            <w:r>
              <w:rPr>
                <w:rFonts w:ascii="Aptos" w:hAnsi="Aptos"/>
                <w:sz w:val="14"/>
              </w:rPr>
              <w:t>The title asserts an output-only coherence framework resistant to reformulation/reset. Exact formal mechanism and external prior-art comparison remain PENDING until primary-text extraction.</w:t>
            </w:r>
          </w:p>
        </w:tc>
      </w:tr>
      <w:tr>
        <w:tc>
          <w:tcPr>
            <w:tcW w:type="dxa" w:w="2437"/>
            <w:tcMar>
              <w:top w:w="80" w:type="dxa"/>
              <w:start w:w="80" w:type="dxa"/>
              <w:bottom w:w="80" w:type="dxa"/>
              <w:end w:w="80" w:type="dxa"/>
            </w:tcMar>
            <w:vAlign w:val="top"/>
          </w:tcPr>
          <w:p>
            <w:pPr>
              <w:spacing w:after="0"/>
            </w:pPr>
            <w:r>
              <w:rPr>
                <w:rFonts w:ascii="Aptos" w:hAnsi="Aptos"/>
                <w:sz w:val="14"/>
              </w:rPr>
              <w:t>18526755</w:t>
            </w:r>
          </w:p>
        </w:tc>
        <w:tc>
          <w:tcPr>
            <w:tcW w:type="dxa" w:w="2437"/>
            <w:tcMar>
              <w:top w:w="80" w:type="dxa"/>
              <w:start w:w="80" w:type="dxa"/>
              <w:bottom w:w="80" w:type="dxa"/>
              <w:end w:w="80" w:type="dxa"/>
            </w:tcMar>
            <w:vAlign w:val="top"/>
          </w:tcPr>
          <w:p>
            <w:pPr>
              <w:spacing w:after="0"/>
            </w:pPr>
            <w:r>
              <w:rPr>
                <w:rFonts w:ascii="Aptos" w:hAnsi="Aptos"/>
                <w:sz w:val="14"/>
              </w:rPr>
              <w:t>Canonical demonstration / current mirror metadata</w:t>
            </w:r>
          </w:p>
        </w:tc>
        <w:tc>
          <w:tcPr>
            <w:tcW w:type="dxa" w:w="2437"/>
            <w:tcMar>
              <w:top w:w="80" w:type="dxa"/>
              <w:start w:w="80" w:type="dxa"/>
              <w:bottom w:w="80" w:type="dxa"/>
              <w:end w:w="80" w:type="dxa"/>
            </w:tcMar>
            <w:vAlign w:val="top"/>
          </w:tcPr>
          <w:p>
            <w:pPr>
              <w:spacing w:after="0"/>
            </w:pPr>
            <w:r>
              <w:rPr>
                <w:rFonts w:ascii="Aptos" w:hAnsi="Aptos"/>
                <w:sz w:val="14"/>
              </w:rPr>
              <w:t>METADATA CONFLICT</w:t>
            </w:r>
          </w:p>
        </w:tc>
        <w:tc>
          <w:tcPr>
            <w:tcW w:type="dxa" w:w="2437"/>
            <w:tcMar>
              <w:top w:w="80" w:type="dxa"/>
              <w:start w:w="80" w:type="dxa"/>
              <w:bottom w:w="80" w:type="dxa"/>
              <w:end w:w="80" w:type="dxa"/>
            </w:tcMar>
            <w:vAlign w:val="top"/>
          </w:tcPr>
          <w:p>
            <w:pPr>
              <w:spacing w:after="0"/>
            </w:pPr>
            <w:r>
              <w:rPr>
                <w:rFonts w:ascii="Aptos" w:hAnsi="Aptos"/>
                <w:sz w:val="14"/>
              </w:rPr>
              <w:t>The user’s canonical corpus describes this record as a complete application demonstration, while the current GitHub mirror landing metadata names “Tenseur d’Amari-Chentsov et saturation MCP”. This mismatch must be resolved before bibliographic promotion.</w:t>
            </w:r>
          </w:p>
        </w:tc>
      </w:tr>
    </w:tbl>
    <w:p>
      <w:pPr>
        <w:pStyle w:val="Heading2"/>
        <w:keepNext/>
        <w:keepLines/>
      </w:pPr>
      <w:r>
        <w:t>29.1 Certificate Z-UDE-IMPL-001 — name is not implementation</w:t>
      </w:r>
    </w:p>
    <w:p>
      <w:pPr>
        <w:spacing w:after="80"/>
      </w:pPr>
      <w:r>
        <w:rPr>
          <w:rFonts w:ascii="Aptos" w:hAnsi="Aptos"/>
          <w:sz w:val="19"/>
        </w:rPr>
        <w:t>Recovered code associated with the Unified Discovery Engine computes the scalar coherence ratio for Monte-Carlo samples and reports aggregate statistics. This is a real executable artefact, but it is not sufficient evidence for an autonomous scientific-discovery loop. Pass 5 therefore narrows the implementation claim to exactly what the code demonstrates.</w:t>
      </w:r>
    </w:p>
    <w:p>
      <w:pPr>
        <w:spacing w:after="80"/>
      </w:pPr>
      <w:r>
        <w:rPr>
          <w:rFonts w:ascii="Aptos" w:hAnsi="Aptos"/>
          <w:sz w:val="19"/>
        </w:rPr>
        <w:t>ALLOWED — “Executable coherence-sampling / parameter-surface engine in the discovery stack.”  FORBIDDEN WITHOUT FURTHER PRIMARY CODE — “First autonomous scientific discovery engine,” “full automated falsification loop,” or any equivalent end-to-end claim.</w:t>
      </w:r>
    </w:p>
    <w:p>
      <w:pPr>
        <w:pStyle w:val="Heading2"/>
        <w:keepNext/>
        <w:keepLines/>
      </w:pPr>
      <w:r>
        <w:t>29.2 Certificate Z-GHUC-PROOF-001 — dated architecture and traceability</w:t>
      </w:r>
    </w:p>
    <w:p>
      <w:pPr>
        <w:spacing w:after="80"/>
      </w:pPr>
      <w:r>
        <w:rPr>
          <w:rFonts w:ascii="Aptos" w:hAnsi="Aptos"/>
          <w:sz w:val="19"/>
        </w:rPr>
        <w:t>The GHUC Ω8 manifest provides a stronger architectural record. Its UTC timestamp is 2025-11-10T00:00:00Z. It names a discovery/falsification module, a variant engine, a discovery framework, ProofChain files, C2PA-style provenance claims, fixed reproduction seeds and a machine-readable schema. These are concrete implementation-governance artefacts.</w:t>
      </w:r>
    </w:p>
    <w:p>
      <w:pPr>
        <w:spacing w:after="80"/>
      </w:pPr>
      <w:r>
        <w:rPr>
          <w:rFonts w:ascii="Aptos" w:hAnsi="Aptos"/>
          <w:sz w:val="19"/>
        </w:rPr>
        <w:t>LIMIT — Several checksum fields in the recovered manifest are still placeholders (“TO_BE_FILLED_AFTER_UPLOAD”), and the manifest includes compliance booleans that are assertions rather than independent certifications. Pass 5 treats them as author-supplied metadata, not third-party validation.</w:t>
      </w:r>
    </w:p>
    <w:p>
      <w:pPr>
        <w:pStyle w:val="Heading2"/>
        <w:keepNext/>
        <w:keepLines/>
      </w:pPr>
      <w:r>
        <w:t>29.3 Certificate ZBENCH-MAI-001 — multi-AI evaluation is real, but not independent replication</w:t>
      </w:r>
    </w:p>
    <w:p>
      <w:pPr>
        <w:spacing w:after="80"/>
      </w:pPr>
      <w:r>
        <w:rPr>
          <w:rFonts w:ascii="Aptos" w:hAnsi="Aptos"/>
          <w:sz w:val="19"/>
        </w:rPr>
        <w:t>ZBench Ω9 describes a common test surface across 11 AI systems, seven mandatory quantitative tests and a qualitative/adversarial ΔRedTeam layer. It records model/date/source metadata and hash traces. This supports a genuine multi-model audit architecture.</w:t>
      </w:r>
    </w:p>
    <w:p>
      <w:pPr>
        <w:spacing w:after="80"/>
      </w:pPr>
      <w:r>
        <w:rPr>
          <w:rFonts w:ascii="Aptos" w:hAnsi="Aptos"/>
          <w:sz w:val="19"/>
        </w:rPr>
        <w:t>LIMIT — Running multiple models is not the same as 11 independent scientific replications. The systems may share training data, prompts, benchmarks and infrastructure assumptions. The ZBench document itself acknowledges endpoint nondeterminism. Priority and evidence counts must therefore remain category-accurate.</w:t>
      </w:r>
    </w:p>
    <w:p>
      <w:pPr>
        <w:pStyle w:val="Heading1"/>
        <w:keepNext/>
        <w:keepLines/>
      </w:pPr>
      <w:r>
        <w:t>30. Formal relation certificates — Zoran versus the closest AI-science lineages</w:t>
      </w:r>
    </w:p>
    <w:tbl>
      <w:tblPr>
        <w:tblStyle w:val="TableGrid"/>
        <w:tblW w:type="auto" w:w="0"/>
        <w:jc w:val="center"/>
        <w:tblLook w:firstColumn="1" w:firstRow="1" w:lastColumn="0" w:lastRow="0" w:noHBand="0" w:noVBand="1" w:val="04A0"/>
      </w:tblPr>
      <w:tblGrid>
        <w:gridCol w:w="3250"/>
        <w:gridCol w:w="3250"/>
        <w:gridCol w:w="3250"/>
      </w:tblGrid>
      <w:tr>
        <w:trPr>
          <w:tblHeader w:val="true"/>
        </w:trPr>
        <w:tc>
          <w:tcPr>
            <w:tcW w:type="dxa" w:w="3250"/>
            <w:shd w:fill="D9EAF7"/>
            <w:vAlign w:val="center"/>
            <w:tcMar>
              <w:top w:w="80" w:type="dxa"/>
              <w:start w:w="80" w:type="dxa"/>
              <w:bottom w:w="80" w:type="dxa"/>
              <w:end w:w="80" w:type="dxa"/>
            </w:tcMar>
          </w:tcPr>
          <w:p>
            <w:pPr>
              <w:jc w:val="center"/>
            </w:pPr>
            <w:r>
              <w:rPr>
                <w:rFonts w:ascii="Aptos" w:hAnsi="Aptos"/>
                <w:b/>
                <w:sz w:val="15"/>
              </w:rPr>
              <w:t>Comparison</w:t>
            </w:r>
          </w:p>
        </w:tc>
        <w:tc>
          <w:tcPr>
            <w:tcW w:type="dxa" w:w="3250"/>
            <w:shd w:fill="D9EAF7"/>
            <w:vAlign w:val="center"/>
            <w:tcMar>
              <w:top w:w="80" w:type="dxa"/>
              <w:start w:w="80" w:type="dxa"/>
              <w:bottom w:w="80" w:type="dxa"/>
              <w:end w:w="80" w:type="dxa"/>
            </w:tcMar>
          </w:tcPr>
          <w:p>
            <w:pPr>
              <w:jc w:val="center"/>
            </w:pPr>
            <w:r>
              <w:rPr>
                <w:rFonts w:ascii="Aptos" w:hAnsi="Aptos"/>
                <w:b/>
                <w:sz w:val="15"/>
              </w:rPr>
              <w:t>Certificate / E-class</w:t>
            </w:r>
          </w:p>
        </w:tc>
        <w:tc>
          <w:tcPr>
            <w:tcW w:type="dxa" w:w="3250"/>
            <w:shd w:fill="D9EAF7"/>
            <w:vAlign w:val="center"/>
            <w:tcMar>
              <w:top w:w="80" w:type="dxa"/>
              <w:start w:w="80" w:type="dxa"/>
              <w:bottom w:w="80" w:type="dxa"/>
              <w:end w:w="80" w:type="dxa"/>
            </w:tcMar>
          </w:tcPr>
          <w:p>
            <w:pPr>
              <w:jc w:val="center"/>
            </w:pPr>
            <w:r>
              <w:rPr>
                <w:rFonts w:ascii="Aptos" w:hAnsi="Aptos"/>
                <w:b/>
                <w:sz w:val="15"/>
              </w:rPr>
              <w:t>What is demonstrated</w:t>
            </w:r>
          </w:p>
        </w:tc>
      </w:tr>
      <w:tr>
        <w:tc>
          <w:tcPr>
            <w:tcW w:type="dxa" w:w="3250"/>
            <w:tcMar>
              <w:top w:w="80" w:type="dxa"/>
              <w:start w:w="80" w:type="dxa"/>
              <w:bottom w:w="80" w:type="dxa"/>
              <w:end w:w="80" w:type="dxa"/>
            </w:tcMar>
            <w:vAlign w:val="top"/>
          </w:tcPr>
          <w:p>
            <w:pPr>
              <w:spacing w:after="0"/>
            </w:pPr>
            <w:r>
              <w:rPr>
                <w:rFonts w:ascii="Aptos" w:hAnsi="Aptos"/>
                <w:sz w:val="15"/>
              </w:rPr>
              <w:t>AI Scientist → Zoran</w:t>
            </w:r>
          </w:p>
        </w:tc>
        <w:tc>
          <w:tcPr>
            <w:tcW w:type="dxa" w:w="3250"/>
            <w:tcMar>
              <w:top w:w="80" w:type="dxa"/>
              <w:start w:w="80" w:type="dxa"/>
              <w:bottom w:w="80" w:type="dxa"/>
              <w:end w:w="80" w:type="dxa"/>
            </w:tcMar>
            <w:vAlign w:val="top"/>
          </w:tcPr>
          <w:p>
            <w:pPr>
              <w:spacing w:after="0"/>
            </w:pPr>
            <w:r>
              <w:rPr>
                <w:rFonts w:ascii="Aptos" w:hAnsi="Aptos"/>
                <w:sz w:val="15"/>
              </w:rPr>
              <w:t>C-N / E4-E6</w:t>
            </w:r>
          </w:p>
        </w:tc>
        <w:tc>
          <w:tcPr>
            <w:tcW w:type="dxa" w:w="3250"/>
            <w:tcMar>
              <w:top w:w="80" w:type="dxa"/>
              <w:start w:w="80" w:type="dxa"/>
              <w:bottom w:w="80" w:type="dxa"/>
              <w:end w:w="80" w:type="dxa"/>
            </w:tcMar>
            <w:vAlign w:val="top"/>
          </w:tcPr>
          <w:p>
            <w:pPr>
              <w:spacing w:after="0"/>
            </w:pPr>
            <w:r>
              <w:rPr>
                <w:rFonts w:ascii="Aptos" w:hAnsi="Aptos"/>
                <w:sz w:val="15"/>
              </w:rPr>
              <w:t>AI Scientist optimizes production of complete research artefacts; Zoran’s intended role is admissibility filtering/refusal. Same research ecosystem, different mathematical decision object.</w:t>
            </w:r>
          </w:p>
        </w:tc>
      </w:tr>
      <w:tr>
        <w:tc>
          <w:tcPr>
            <w:tcW w:type="dxa" w:w="3250"/>
            <w:tcMar>
              <w:top w:w="80" w:type="dxa"/>
              <w:start w:w="80" w:type="dxa"/>
              <w:bottom w:w="80" w:type="dxa"/>
              <w:end w:w="80" w:type="dxa"/>
            </w:tcMar>
            <w:vAlign w:val="top"/>
          </w:tcPr>
          <w:p>
            <w:pPr>
              <w:spacing w:after="0"/>
            </w:pPr>
            <w:r>
              <w:rPr>
                <w:rFonts w:ascii="Aptos" w:hAnsi="Aptos"/>
                <w:sz w:val="15"/>
              </w:rPr>
              <w:t>POPPER → Zoran</w:t>
            </w:r>
          </w:p>
        </w:tc>
        <w:tc>
          <w:tcPr>
            <w:tcW w:type="dxa" w:w="3250"/>
            <w:tcMar>
              <w:top w:w="80" w:type="dxa"/>
              <w:start w:w="80" w:type="dxa"/>
              <w:bottom w:w="80" w:type="dxa"/>
              <w:end w:w="80" w:type="dxa"/>
            </w:tcMar>
            <w:vAlign w:val="top"/>
          </w:tcPr>
          <w:p>
            <w:pPr>
              <w:spacing w:after="0"/>
            </w:pPr>
            <w:r>
              <w:rPr>
                <w:rFonts w:ascii="Aptos" w:hAnsi="Aptos"/>
                <w:sz w:val="15"/>
              </w:rPr>
              <w:t>C-N / E4-E5</w:t>
            </w:r>
          </w:p>
        </w:tc>
        <w:tc>
          <w:tcPr>
            <w:tcW w:type="dxa" w:w="3250"/>
            <w:tcMar>
              <w:top w:w="80" w:type="dxa"/>
              <w:start w:w="80" w:type="dxa"/>
              <w:bottom w:w="80" w:type="dxa"/>
              <w:end w:w="80" w:type="dxa"/>
            </w:tcMar>
            <w:vAlign w:val="top"/>
          </w:tcPr>
          <w:p>
            <w:pPr>
              <w:spacing w:after="0"/>
            </w:pPr>
            <w:r>
              <w:rPr>
                <w:rFonts w:ascii="Aptos" w:hAnsi="Aptos"/>
                <w:sz w:val="15"/>
              </w:rPr>
              <w:t>POPPER performs sequential statistical falsification with Type-I error control; Zoran evaluates frame/proxy coherence and structural admissibility. No algebraic identity.</w:t>
            </w:r>
          </w:p>
        </w:tc>
      </w:tr>
      <w:tr>
        <w:tc>
          <w:tcPr>
            <w:tcW w:type="dxa" w:w="3250"/>
            <w:tcMar>
              <w:top w:w="80" w:type="dxa"/>
              <w:start w:w="80" w:type="dxa"/>
              <w:bottom w:w="80" w:type="dxa"/>
              <w:end w:w="80" w:type="dxa"/>
            </w:tcMar>
            <w:vAlign w:val="top"/>
          </w:tcPr>
          <w:p>
            <w:pPr>
              <w:spacing w:after="0"/>
            </w:pPr>
            <w:r>
              <w:rPr>
                <w:rFonts w:ascii="Aptos" w:hAnsi="Aptos"/>
                <w:sz w:val="15"/>
              </w:rPr>
              <w:t>FunSearch → Zoran</w:t>
            </w:r>
          </w:p>
        </w:tc>
        <w:tc>
          <w:tcPr>
            <w:tcW w:type="dxa" w:w="3250"/>
            <w:tcMar>
              <w:top w:w="80" w:type="dxa"/>
              <w:start w:w="80" w:type="dxa"/>
              <w:bottom w:w="80" w:type="dxa"/>
              <w:end w:w="80" w:type="dxa"/>
            </w:tcMar>
            <w:vAlign w:val="top"/>
          </w:tcPr>
          <w:p>
            <w:pPr>
              <w:spacing w:after="0"/>
            </w:pPr>
            <w:r>
              <w:rPr>
                <w:rFonts w:ascii="Aptos" w:hAnsi="Aptos"/>
                <w:sz w:val="15"/>
              </w:rPr>
              <w:t>C-P / E4-E5</w:t>
            </w:r>
          </w:p>
        </w:tc>
        <w:tc>
          <w:tcPr>
            <w:tcW w:type="dxa" w:w="3250"/>
            <w:tcMar>
              <w:top w:w="80" w:type="dxa"/>
              <w:start w:w="80" w:type="dxa"/>
              <w:bottom w:w="80" w:type="dxa"/>
              <w:end w:w="80" w:type="dxa"/>
            </w:tcMar>
            <w:vAlign w:val="top"/>
          </w:tcPr>
          <w:p>
            <w:pPr>
              <w:spacing w:after="0"/>
            </w:pPr>
            <w:r>
              <w:rPr>
                <w:rFonts w:ascii="Aptos" w:hAnsi="Aptos"/>
                <w:sz w:val="15"/>
              </w:rPr>
              <w:t>FunSearch’s evaluator can be compared functionally to a gate, but it scores task solutions for evolutionary search; Zoran’s gauge is not that evaluator and has different semantics.</w:t>
            </w:r>
          </w:p>
        </w:tc>
      </w:tr>
      <w:tr>
        <w:tc>
          <w:tcPr>
            <w:tcW w:type="dxa" w:w="3250"/>
            <w:tcMar>
              <w:top w:w="80" w:type="dxa"/>
              <w:start w:w="80" w:type="dxa"/>
              <w:bottom w:w="80" w:type="dxa"/>
              <w:end w:w="80" w:type="dxa"/>
            </w:tcMar>
            <w:vAlign w:val="top"/>
          </w:tcPr>
          <w:p>
            <w:pPr>
              <w:spacing w:after="0"/>
            </w:pPr>
            <w:r>
              <w:rPr>
                <w:rFonts w:ascii="Aptos" w:hAnsi="Aptos"/>
                <w:sz w:val="15"/>
              </w:rPr>
              <w:t>Shielding → Zoran</w:t>
            </w:r>
          </w:p>
        </w:tc>
        <w:tc>
          <w:tcPr>
            <w:tcW w:type="dxa" w:w="3250"/>
            <w:tcMar>
              <w:top w:w="80" w:type="dxa"/>
              <w:start w:w="80" w:type="dxa"/>
              <w:bottom w:w="80" w:type="dxa"/>
              <w:end w:w="80" w:type="dxa"/>
            </w:tcMar>
            <w:vAlign w:val="top"/>
          </w:tcPr>
          <w:p>
            <w:pPr>
              <w:spacing w:after="0"/>
            </w:pPr>
            <w:r>
              <w:rPr>
                <w:rFonts w:ascii="Aptos" w:hAnsi="Aptos"/>
                <w:sz w:val="15"/>
              </w:rPr>
              <w:t>C-P / E4-E5</w:t>
            </w:r>
          </w:p>
        </w:tc>
        <w:tc>
          <w:tcPr>
            <w:tcW w:type="dxa" w:w="3250"/>
            <w:tcMar>
              <w:top w:w="80" w:type="dxa"/>
              <w:start w:w="80" w:type="dxa"/>
              <w:bottom w:w="80" w:type="dxa"/>
              <w:end w:w="80" w:type="dxa"/>
            </w:tcMar>
            <w:vAlign w:val="top"/>
          </w:tcPr>
          <w:p>
            <w:pPr>
              <w:spacing w:after="0"/>
            </w:pPr>
            <w:r>
              <w:rPr>
                <w:rFonts w:ascii="Aptos" w:hAnsi="Aptos"/>
                <w:sz w:val="15"/>
              </w:rPr>
              <w:t>A shield demonstrates prior art for blocking actions against a formal specification. Zoran can be viewed as another kind of gate only after frames/proxies are specified; safety logic and coherence gauge are distinct.</w:t>
            </w:r>
          </w:p>
        </w:tc>
      </w:tr>
      <w:tr>
        <w:tc>
          <w:tcPr>
            <w:tcW w:type="dxa" w:w="3250"/>
            <w:tcMar>
              <w:top w:w="80" w:type="dxa"/>
              <w:start w:w="80" w:type="dxa"/>
              <w:bottom w:w="80" w:type="dxa"/>
              <w:end w:w="80" w:type="dxa"/>
            </w:tcMar>
            <w:vAlign w:val="top"/>
          </w:tcPr>
          <w:p>
            <w:pPr>
              <w:spacing w:after="0"/>
            </w:pPr>
            <w:r>
              <w:rPr>
                <w:rFonts w:ascii="Aptos" w:hAnsi="Aptos"/>
                <w:sz w:val="15"/>
              </w:rPr>
              <w:t>ELECTRE veto → Zoran</w:t>
            </w:r>
          </w:p>
        </w:tc>
        <w:tc>
          <w:tcPr>
            <w:tcW w:type="dxa" w:w="3250"/>
            <w:tcMar>
              <w:top w:w="80" w:type="dxa"/>
              <w:start w:w="80" w:type="dxa"/>
              <w:bottom w:w="80" w:type="dxa"/>
              <w:end w:w="80" w:type="dxa"/>
            </w:tcMar>
            <w:vAlign w:val="top"/>
          </w:tcPr>
          <w:p>
            <w:pPr>
              <w:spacing w:after="0"/>
            </w:pPr>
            <w:r>
              <w:rPr>
                <w:rFonts w:ascii="Aptos" w:hAnsi="Aptos"/>
                <w:sz w:val="15"/>
              </w:rPr>
              <w:t>C-P / E5</w:t>
            </w:r>
          </w:p>
        </w:tc>
        <w:tc>
          <w:tcPr>
            <w:tcW w:type="dxa" w:w="3250"/>
            <w:tcMar>
              <w:top w:w="80" w:type="dxa"/>
              <w:start w:w="80" w:type="dxa"/>
              <w:bottom w:w="80" w:type="dxa"/>
              <w:end w:w="80" w:type="dxa"/>
            </w:tcMar>
            <w:vAlign w:val="top"/>
          </w:tcPr>
          <w:p>
            <w:pPr>
              <w:spacing w:after="0"/>
            </w:pPr>
            <w:r>
              <w:rPr>
                <w:rFonts w:ascii="Aptos" w:hAnsi="Aptos"/>
                <w:sz w:val="15"/>
              </w:rPr>
              <w:t>ELECTRE establishes long-standing non-compensatory/veto decision logic. Zoran’s no-compensation rule may be structurally comparable but cannot claim invention of veto-based multicriteria refusal.</w:t>
            </w:r>
          </w:p>
        </w:tc>
      </w:tr>
      <w:tr>
        <w:tc>
          <w:tcPr>
            <w:tcW w:type="dxa" w:w="3250"/>
            <w:tcMar>
              <w:top w:w="80" w:type="dxa"/>
              <w:start w:w="80" w:type="dxa"/>
              <w:bottom w:w="80" w:type="dxa"/>
              <w:end w:w="80" w:type="dxa"/>
            </w:tcMar>
            <w:vAlign w:val="top"/>
          </w:tcPr>
          <w:p>
            <w:pPr>
              <w:spacing w:after="0"/>
            </w:pPr>
            <w:r>
              <w:rPr>
                <w:rFonts w:ascii="Aptos" w:hAnsi="Aptos"/>
                <w:sz w:val="15"/>
              </w:rPr>
              <w:t>AI Feynman → Zoran law engines</w:t>
            </w:r>
          </w:p>
        </w:tc>
        <w:tc>
          <w:tcPr>
            <w:tcW w:type="dxa" w:w="3250"/>
            <w:tcMar>
              <w:top w:w="80" w:type="dxa"/>
              <w:start w:w="80" w:type="dxa"/>
              <w:bottom w:w="80" w:type="dxa"/>
              <w:end w:w="80" w:type="dxa"/>
            </w:tcMar>
            <w:vAlign w:val="top"/>
          </w:tcPr>
          <w:p>
            <w:pPr>
              <w:spacing w:after="0"/>
            </w:pPr>
            <w:r>
              <w:rPr>
                <w:rFonts w:ascii="Aptos" w:hAnsi="Aptos"/>
                <w:sz w:val="15"/>
              </w:rPr>
              <w:t>C-N / E4-E6</w:t>
            </w:r>
          </w:p>
        </w:tc>
        <w:tc>
          <w:tcPr>
            <w:tcW w:type="dxa" w:w="3250"/>
            <w:tcMar>
              <w:top w:w="80" w:type="dxa"/>
              <w:start w:w="80" w:type="dxa"/>
              <w:bottom w:w="80" w:type="dxa"/>
              <w:end w:w="80" w:type="dxa"/>
            </w:tcMar>
            <w:vAlign w:val="top"/>
          </w:tcPr>
          <w:p>
            <w:pPr>
              <w:spacing w:after="0"/>
            </w:pPr>
            <w:r>
              <w:rPr>
                <w:rFonts w:ascii="Aptos" w:hAnsi="Aptos"/>
                <w:sz w:val="15"/>
              </w:rPr>
              <w:t>AI Feynman discovers symbolic equations from data using symbolic regression; recovered Zoran variant/discovery engines manipulate or sample declared coherence forms. The discovery mechanisms differ.</w:t>
            </w:r>
          </w:p>
        </w:tc>
      </w:tr>
    </w:tbl>
    <w:p>
      <w:pPr>
        <w:pStyle w:val="Heading1"/>
        <w:keepNext/>
        <w:keepLines/>
      </w:pPr>
      <w:r>
        <w:t>31. Five-axis priority ledger after Pass 5</w:t>
      </w:r>
    </w:p>
    <w:tbl>
      <w:tblPr>
        <w:tblStyle w:val="TableGrid"/>
        <w:tblW w:type="auto" w:w="0"/>
        <w:jc w:val="center"/>
        <w:tblLook w:firstColumn="1" w:firstRow="1" w:lastColumn="0" w:lastRow="0" w:noHBand="0" w:noVBand="1" w:val="04A0"/>
      </w:tblPr>
      <w:tblGrid>
        <w:gridCol w:w="2437"/>
        <w:gridCol w:w="2437"/>
        <w:gridCol w:w="2437"/>
        <w:gridCol w:w="2437"/>
      </w:tblGrid>
      <w:tr>
        <w:trPr>
          <w:tblHeader w:val="true"/>
        </w:trPr>
        <w:tc>
          <w:tcPr>
            <w:tcW w:type="dxa" w:w="2437"/>
            <w:shd w:fill="D9EAF7"/>
            <w:vAlign w:val="center"/>
            <w:tcMar>
              <w:top w:w="80" w:type="dxa"/>
              <w:start w:w="80" w:type="dxa"/>
              <w:bottom w:w="80" w:type="dxa"/>
              <w:end w:w="80" w:type="dxa"/>
            </w:tcMar>
          </w:tcPr>
          <w:p>
            <w:pPr>
              <w:jc w:val="center"/>
            </w:pPr>
            <w:r>
              <w:rPr>
                <w:rFonts w:ascii="Aptos" w:hAnsi="Aptos"/>
                <w:b/>
                <w:sz w:val="14"/>
              </w:rPr>
              <w:t>Priority axis</w:t>
            </w:r>
          </w:p>
        </w:tc>
        <w:tc>
          <w:tcPr>
            <w:tcW w:type="dxa" w:w="2437"/>
            <w:shd w:fill="D9EAF7"/>
            <w:vAlign w:val="center"/>
            <w:tcMar>
              <w:top w:w="80" w:type="dxa"/>
              <w:start w:w="80" w:type="dxa"/>
              <w:bottom w:w="80" w:type="dxa"/>
              <w:end w:w="80" w:type="dxa"/>
            </w:tcMar>
          </w:tcPr>
          <w:p>
            <w:pPr>
              <w:jc w:val="center"/>
            </w:pPr>
            <w:r>
              <w:rPr>
                <w:rFonts w:ascii="Aptos" w:hAnsi="Aptos"/>
                <w:b/>
                <w:sz w:val="14"/>
              </w:rPr>
              <w:t>Claim surface</w:t>
            </w:r>
          </w:p>
        </w:tc>
        <w:tc>
          <w:tcPr>
            <w:tcW w:type="dxa" w:w="2437"/>
            <w:shd w:fill="D9EAF7"/>
            <w:vAlign w:val="center"/>
            <w:tcMar>
              <w:top w:w="80" w:type="dxa"/>
              <w:start w:w="80" w:type="dxa"/>
              <w:bottom w:w="80" w:type="dxa"/>
              <w:end w:w="80" w:type="dxa"/>
            </w:tcMar>
          </w:tcPr>
          <w:p>
            <w:pPr>
              <w:jc w:val="center"/>
            </w:pPr>
            <w:r>
              <w:rPr>
                <w:rFonts w:ascii="Aptos" w:hAnsi="Aptos"/>
                <w:b/>
                <w:sz w:val="14"/>
              </w:rPr>
              <w:t>Earliest/strongest constraint in current audit</w:t>
            </w:r>
          </w:p>
        </w:tc>
        <w:tc>
          <w:tcPr>
            <w:tcW w:type="dxa" w:w="2437"/>
            <w:shd w:fill="D9EAF7"/>
            <w:vAlign w:val="center"/>
            <w:tcMar>
              <w:top w:w="80" w:type="dxa"/>
              <w:start w:w="80" w:type="dxa"/>
              <w:bottom w:w="80" w:type="dxa"/>
              <w:end w:w="80" w:type="dxa"/>
            </w:tcMar>
          </w:tcPr>
          <w:p>
            <w:pPr>
              <w:jc w:val="center"/>
            </w:pPr>
            <w:r>
              <w:rPr>
                <w:rFonts w:ascii="Aptos" w:hAnsi="Aptos"/>
                <w:b/>
                <w:sz w:val="14"/>
              </w:rPr>
              <w:t>Pass-5 status</w:t>
            </w:r>
          </w:p>
        </w:tc>
      </w:tr>
      <w:tr>
        <w:tc>
          <w:tcPr>
            <w:tcW w:type="dxa" w:w="2437"/>
            <w:tcMar>
              <w:top w:w="80" w:type="dxa"/>
              <w:start w:w="80" w:type="dxa"/>
              <w:bottom w:w="80" w:type="dxa"/>
              <w:end w:w="80" w:type="dxa"/>
            </w:tcMar>
            <w:vAlign w:val="top"/>
          </w:tcPr>
          <w:p>
            <w:pPr>
              <w:spacing w:after="0"/>
            </w:pPr>
            <w:r>
              <w:rPr>
                <w:rFonts w:ascii="Aptos" w:hAnsi="Aptos"/>
                <w:sz w:val="14"/>
              </w:rPr>
              <w:t>Concept priority</w:t>
            </w:r>
          </w:p>
        </w:tc>
        <w:tc>
          <w:tcPr>
            <w:tcW w:type="dxa" w:w="2437"/>
            <w:tcMar>
              <w:top w:w="80" w:type="dxa"/>
              <w:start w:w="80" w:type="dxa"/>
              <w:bottom w:w="80" w:type="dxa"/>
              <w:end w:w="80" w:type="dxa"/>
            </w:tcMar>
            <w:vAlign w:val="top"/>
          </w:tcPr>
          <w:p>
            <w:pPr>
              <w:spacing w:after="0"/>
            </w:pPr>
            <w:r>
              <w:rPr>
                <w:rFonts w:ascii="Aptos" w:hAnsi="Aptos"/>
                <w:sz w:val="14"/>
              </w:rPr>
              <w:t>AI-assisted / automated science</w:t>
            </w:r>
          </w:p>
        </w:tc>
        <w:tc>
          <w:tcPr>
            <w:tcW w:type="dxa" w:w="2437"/>
            <w:tcMar>
              <w:top w:w="80" w:type="dxa"/>
              <w:start w:w="80" w:type="dxa"/>
              <w:bottom w:w="80" w:type="dxa"/>
              <w:end w:w="80" w:type="dxa"/>
            </w:tcMar>
            <w:vAlign w:val="top"/>
          </w:tcPr>
          <w:p>
            <w:pPr>
              <w:spacing w:after="0"/>
            </w:pPr>
            <w:r>
              <w:rPr>
                <w:rFonts w:ascii="Aptos" w:hAnsi="Aptos"/>
                <w:sz w:val="14"/>
              </w:rPr>
              <w:t>Robot Scientist and later autonomous-science lineages</w:t>
            </w:r>
          </w:p>
        </w:tc>
        <w:tc>
          <w:tcPr>
            <w:tcW w:type="dxa" w:w="2437"/>
            <w:tcMar>
              <w:top w:w="80" w:type="dxa"/>
              <w:start w:w="80" w:type="dxa"/>
              <w:bottom w:w="80" w:type="dxa"/>
              <w:end w:w="80" w:type="dxa"/>
            </w:tcMar>
            <w:vAlign w:val="top"/>
          </w:tcPr>
          <w:p>
            <w:pPr>
              <w:spacing w:after="0"/>
            </w:pPr>
            <w:r>
              <w:rPr>
                <w:rFonts w:ascii="Aptos" w:hAnsi="Aptos"/>
                <w:sz w:val="14"/>
              </w:rPr>
              <w:t>CLOSED against broad Zoran priority</w:t>
            </w:r>
          </w:p>
        </w:tc>
      </w:tr>
      <w:tr>
        <w:tc>
          <w:tcPr>
            <w:tcW w:type="dxa" w:w="2437"/>
            <w:tcMar>
              <w:top w:w="80" w:type="dxa"/>
              <w:start w:w="80" w:type="dxa"/>
              <w:bottom w:w="80" w:type="dxa"/>
              <w:end w:w="80" w:type="dxa"/>
            </w:tcMar>
            <w:vAlign w:val="top"/>
          </w:tcPr>
          <w:p>
            <w:pPr>
              <w:spacing w:after="0"/>
            </w:pPr>
            <w:r>
              <w:rPr>
                <w:rFonts w:ascii="Aptos" w:hAnsi="Aptos"/>
                <w:sz w:val="14"/>
              </w:rPr>
              <w:t>Equation/operator priority</w:t>
            </w:r>
          </w:p>
        </w:tc>
        <w:tc>
          <w:tcPr>
            <w:tcW w:type="dxa" w:w="2437"/>
            <w:tcMar>
              <w:top w:w="80" w:type="dxa"/>
              <w:start w:w="80" w:type="dxa"/>
              <w:bottom w:w="80" w:type="dxa"/>
              <w:end w:w="80" w:type="dxa"/>
            </w:tcMar>
            <w:vAlign w:val="top"/>
          </w:tcPr>
          <w:p>
            <w:pPr>
              <w:spacing w:after="0"/>
            </w:pPr>
            <w:r>
              <w:rPr>
                <w:rFonts w:ascii="Aptos" w:hAnsi="Aptos"/>
                <w:sz w:val="14"/>
              </w:rPr>
              <w:t>Automatic symbolic equation discovery</w:t>
            </w:r>
          </w:p>
        </w:tc>
        <w:tc>
          <w:tcPr>
            <w:tcW w:type="dxa" w:w="2437"/>
            <w:tcMar>
              <w:top w:w="80" w:type="dxa"/>
              <w:start w:w="80" w:type="dxa"/>
              <w:bottom w:w="80" w:type="dxa"/>
              <w:end w:w="80" w:type="dxa"/>
            </w:tcMar>
            <w:vAlign w:val="top"/>
          </w:tcPr>
          <w:p>
            <w:pPr>
              <w:spacing w:after="0"/>
            </w:pPr>
            <w:r>
              <w:rPr>
                <w:rFonts w:ascii="Aptos" w:hAnsi="Aptos"/>
                <w:sz w:val="14"/>
              </w:rPr>
              <w:t>Symbolic regression; AI Feynman 2019/2020</w:t>
            </w:r>
          </w:p>
        </w:tc>
        <w:tc>
          <w:tcPr>
            <w:tcW w:type="dxa" w:w="2437"/>
            <w:tcMar>
              <w:top w:w="80" w:type="dxa"/>
              <w:start w:w="80" w:type="dxa"/>
              <w:bottom w:w="80" w:type="dxa"/>
              <w:end w:w="80" w:type="dxa"/>
            </w:tcMar>
            <w:vAlign w:val="top"/>
          </w:tcPr>
          <w:p>
            <w:pPr>
              <w:spacing w:after="0"/>
            </w:pPr>
            <w:r>
              <w:rPr>
                <w:rFonts w:ascii="Aptos" w:hAnsi="Aptos"/>
                <w:sz w:val="14"/>
              </w:rPr>
              <w:t>CLOSED for broad “AI discovers equations” claim; Zoran-specific equation priority remains a separate audit</w:t>
            </w:r>
          </w:p>
        </w:tc>
      </w:tr>
      <w:tr>
        <w:tc>
          <w:tcPr>
            <w:tcW w:type="dxa" w:w="2437"/>
            <w:tcMar>
              <w:top w:w="80" w:type="dxa"/>
              <w:start w:w="80" w:type="dxa"/>
              <w:bottom w:w="80" w:type="dxa"/>
              <w:end w:w="80" w:type="dxa"/>
            </w:tcMar>
            <w:vAlign w:val="top"/>
          </w:tcPr>
          <w:p>
            <w:pPr>
              <w:spacing w:after="0"/>
            </w:pPr>
            <w:r>
              <w:rPr>
                <w:rFonts w:ascii="Aptos" w:hAnsi="Aptos"/>
                <w:sz w:val="14"/>
              </w:rPr>
              <w:t>Empirical validation priority</w:t>
            </w:r>
          </w:p>
        </w:tc>
        <w:tc>
          <w:tcPr>
            <w:tcW w:type="dxa" w:w="2437"/>
            <w:tcMar>
              <w:top w:w="80" w:type="dxa"/>
              <w:start w:w="80" w:type="dxa"/>
              <w:bottom w:w="80" w:type="dxa"/>
              <w:end w:w="80" w:type="dxa"/>
            </w:tcMar>
            <w:vAlign w:val="top"/>
          </w:tcPr>
          <w:p>
            <w:pPr>
              <w:spacing w:after="0"/>
            </w:pPr>
            <w:r>
              <w:rPr>
                <w:rFonts w:ascii="Aptos" w:hAnsi="Aptos"/>
                <w:sz w:val="14"/>
              </w:rPr>
              <w:t>Cross-domain scientific validation</w:t>
            </w:r>
          </w:p>
        </w:tc>
        <w:tc>
          <w:tcPr>
            <w:tcW w:type="dxa" w:w="2437"/>
            <w:tcMar>
              <w:top w:w="80" w:type="dxa"/>
              <w:start w:w="80" w:type="dxa"/>
              <w:bottom w:w="80" w:type="dxa"/>
              <w:end w:w="80" w:type="dxa"/>
            </w:tcMar>
            <w:vAlign w:val="top"/>
          </w:tcPr>
          <w:p>
            <w:pPr>
              <w:spacing w:after="0"/>
            </w:pPr>
            <w:r>
              <w:rPr>
                <w:rFonts w:ascii="Aptos" w:hAnsi="Aptos"/>
                <w:sz w:val="14"/>
              </w:rPr>
              <w:t>Domain-specific systems and benchmarks pre-exist; Zoran has its own claimed datasets/simulations</w:t>
            </w:r>
          </w:p>
        </w:tc>
        <w:tc>
          <w:tcPr>
            <w:tcW w:type="dxa" w:w="2437"/>
            <w:tcMar>
              <w:top w:w="80" w:type="dxa"/>
              <w:start w:w="80" w:type="dxa"/>
              <w:bottom w:w="80" w:type="dxa"/>
              <w:end w:w="80" w:type="dxa"/>
            </w:tcMar>
            <w:vAlign w:val="top"/>
          </w:tcPr>
          <w:p>
            <w:pPr>
              <w:spacing w:after="0"/>
            </w:pPr>
            <w:r>
              <w:rPr>
                <w:rFonts w:ascii="Aptos" w:hAnsi="Aptos"/>
                <w:sz w:val="14"/>
              </w:rPr>
              <w:t>OPEN; requires source-by-source replication ledger</w:t>
            </w:r>
          </w:p>
        </w:tc>
      </w:tr>
      <w:tr>
        <w:tc>
          <w:tcPr>
            <w:tcW w:type="dxa" w:w="2437"/>
            <w:tcMar>
              <w:top w:w="80" w:type="dxa"/>
              <w:start w:w="80" w:type="dxa"/>
              <w:bottom w:w="80" w:type="dxa"/>
              <w:end w:w="80" w:type="dxa"/>
            </w:tcMar>
            <w:vAlign w:val="top"/>
          </w:tcPr>
          <w:p>
            <w:pPr>
              <w:spacing w:after="0"/>
            </w:pPr>
            <w:r>
              <w:rPr>
                <w:rFonts w:ascii="Aptos" w:hAnsi="Aptos"/>
                <w:sz w:val="14"/>
              </w:rPr>
              <w:t>Executable implementation priority</w:t>
            </w:r>
          </w:p>
        </w:tc>
        <w:tc>
          <w:tcPr>
            <w:tcW w:type="dxa" w:w="2437"/>
            <w:tcMar>
              <w:top w:w="80" w:type="dxa"/>
              <w:start w:w="80" w:type="dxa"/>
              <w:bottom w:w="80" w:type="dxa"/>
              <w:end w:w="80" w:type="dxa"/>
            </w:tcMar>
            <w:vAlign w:val="top"/>
          </w:tcPr>
          <w:p>
            <w:pPr>
              <w:spacing w:after="0"/>
            </w:pPr>
            <w:r>
              <w:rPr>
                <w:rFonts w:ascii="Aptos" w:hAnsi="Aptos"/>
                <w:sz w:val="14"/>
              </w:rPr>
              <w:t>Full autonomous research loop</w:t>
            </w:r>
          </w:p>
        </w:tc>
        <w:tc>
          <w:tcPr>
            <w:tcW w:type="dxa" w:w="2437"/>
            <w:tcMar>
              <w:top w:w="80" w:type="dxa"/>
              <w:start w:w="80" w:type="dxa"/>
              <w:bottom w:w="80" w:type="dxa"/>
              <w:end w:w="80" w:type="dxa"/>
            </w:tcMar>
            <w:vAlign w:val="top"/>
          </w:tcPr>
          <w:p>
            <w:pPr>
              <w:spacing w:after="0"/>
            </w:pPr>
            <w:r>
              <w:rPr>
                <w:rFonts w:ascii="Aptos" w:hAnsi="Aptos"/>
                <w:sz w:val="14"/>
              </w:rPr>
              <w:t>Coscientist / AI Scientist before Zoran</w:t>
            </w:r>
          </w:p>
        </w:tc>
        <w:tc>
          <w:tcPr>
            <w:tcW w:type="dxa" w:w="2437"/>
            <w:tcMar>
              <w:top w:w="80" w:type="dxa"/>
              <w:start w:w="80" w:type="dxa"/>
              <w:bottom w:w="80" w:type="dxa"/>
              <w:end w:w="80" w:type="dxa"/>
            </w:tcMar>
            <w:vAlign w:val="top"/>
          </w:tcPr>
          <w:p>
            <w:pPr>
              <w:spacing w:after="0"/>
            </w:pPr>
            <w:r>
              <w:rPr>
                <w:rFonts w:ascii="Aptos" w:hAnsi="Aptos"/>
                <w:sz w:val="14"/>
              </w:rPr>
              <w:t>CLOSED for broad autonomous-loop priority; Zoran component implementation is partially verified</w:t>
            </w:r>
          </w:p>
        </w:tc>
      </w:tr>
      <w:tr>
        <w:tc>
          <w:tcPr>
            <w:tcW w:type="dxa" w:w="2437"/>
            <w:tcMar>
              <w:top w:w="80" w:type="dxa"/>
              <w:start w:w="80" w:type="dxa"/>
              <w:bottom w:w="80" w:type="dxa"/>
              <w:end w:w="80" w:type="dxa"/>
            </w:tcMar>
            <w:vAlign w:val="top"/>
          </w:tcPr>
          <w:p>
            <w:pPr>
              <w:spacing w:after="0"/>
            </w:pPr>
            <w:r>
              <w:rPr>
                <w:rFonts w:ascii="Aptos" w:hAnsi="Aptos"/>
                <w:sz w:val="14"/>
              </w:rPr>
              <w:t>AI-method priority</w:t>
            </w:r>
          </w:p>
        </w:tc>
        <w:tc>
          <w:tcPr>
            <w:tcW w:type="dxa" w:w="2437"/>
            <w:tcMar>
              <w:top w:w="80" w:type="dxa"/>
              <w:start w:w="80" w:type="dxa"/>
              <w:bottom w:w="80" w:type="dxa"/>
              <w:end w:w="80" w:type="dxa"/>
            </w:tcMar>
            <w:vAlign w:val="top"/>
          </w:tcPr>
          <w:p>
            <w:pPr>
              <w:spacing w:after="0"/>
            </w:pPr>
            <w:r>
              <w:rPr>
                <w:rFonts w:ascii="Aptos" w:hAnsi="Aptos"/>
                <w:sz w:val="14"/>
              </w:rPr>
              <w:t>LLM-agent falsification</w:t>
            </w:r>
          </w:p>
        </w:tc>
        <w:tc>
          <w:tcPr>
            <w:tcW w:type="dxa" w:w="2437"/>
            <w:tcMar>
              <w:top w:w="80" w:type="dxa"/>
              <w:start w:w="80" w:type="dxa"/>
              <w:bottom w:w="80" w:type="dxa"/>
              <w:end w:w="80" w:type="dxa"/>
            </w:tcMar>
            <w:vAlign w:val="top"/>
          </w:tcPr>
          <w:p>
            <w:pPr>
              <w:spacing w:after="0"/>
            </w:pPr>
            <w:r>
              <w:rPr>
                <w:rFonts w:ascii="Aptos" w:hAnsi="Aptos"/>
                <w:sz w:val="14"/>
              </w:rPr>
              <w:t>POPPER, 14 Feb 2025</w:t>
            </w:r>
          </w:p>
        </w:tc>
        <w:tc>
          <w:tcPr>
            <w:tcW w:type="dxa" w:w="2437"/>
            <w:tcMar>
              <w:top w:w="80" w:type="dxa"/>
              <w:start w:w="80" w:type="dxa"/>
              <w:bottom w:w="80" w:type="dxa"/>
              <w:end w:w="80" w:type="dxa"/>
            </w:tcMar>
            <w:vAlign w:val="top"/>
          </w:tcPr>
          <w:p>
            <w:pPr>
              <w:spacing w:after="0"/>
            </w:pPr>
            <w:r>
              <w:rPr>
                <w:rFonts w:ascii="Aptos" w:hAnsi="Aptos"/>
                <w:sz w:val="14"/>
              </w:rPr>
              <w:t>CLOSED for broad LLM-falsification priority</w:t>
            </w:r>
          </w:p>
        </w:tc>
      </w:tr>
      <w:tr>
        <w:tc>
          <w:tcPr>
            <w:tcW w:type="dxa" w:w="2437"/>
            <w:tcMar>
              <w:top w:w="80" w:type="dxa"/>
              <w:start w:w="80" w:type="dxa"/>
              <w:bottom w:w="80" w:type="dxa"/>
              <w:end w:w="80" w:type="dxa"/>
            </w:tcMar>
            <w:vAlign w:val="top"/>
          </w:tcPr>
          <w:p>
            <w:pPr>
              <w:spacing w:after="0"/>
            </w:pPr>
            <w:r>
              <w:rPr>
                <w:rFonts w:ascii="Aptos" w:hAnsi="Aptos"/>
                <w:sz w:val="14"/>
              </w:rPr>
              <w:t>Decision architecture</w:t>
            </w:r>
          </w:p>
        </w:tc>
        <w:tc>
          <w:tcPr>
            <w:tcW w:type="dxa" w:w="2437"/>
            <w:tcMar>
              <w:top w:w="80" w:type="dxa"/>
              <w:start w:w="80" w:type="dxa"/>
              <w:bottom w:w="80" w:type="dxa"/>
              <w:end w:w="80" w:type="dxa"/>
            </w:tcMar>
            <w:vAlign w:val="top"/>
          </w:tcPr>
          <w:p>
            <w:pPr>
              <w:spacing w:after="0"/>
            </w:pPr>
            <w:r>
              <w:rPr>
                <w:rFonts w:ascii="Aptos" w:hAnsi="Aptos"/>
                <w:sz w:val="14"/>
              </w:rPr>
              <w:t>Formal safety / veto / abstention</w:t>
            </w:r>
          </w:p>
        </w:tc>
        <w:tc>
          <w:tcPr>
            <w:tcW w:type="dxa" w:w="2437"/>
            <w:tcMar>
              <w:top w:w="80" w:type="dxa"/>
              <w:start w:w="80" w:type="dxa"/>
              <w:bottom w:w="80" w:type="dxa"/>
              <w:end w:w="80" w:type="dxa"/>
            </w:tcMar>
            <w:vAlign w:val="top"/>
          </w:tcPr>
          <w:p>
            <w:pPr>
              <w:spacing w:after="0"/>
            </w:pPr>
            <w:r>
              <w:rPr>
                <w:rFonts w:ascii="Aptos" w:hAnsi="Aptos"/>
                <w:sz w:val="14"/>
              </w:rPr>
              <w:t>Shielding and non-compensatory MCDA pre-exist</w:t>
            </w:r>
          </w:p>
        </w:tc>
        <w:tc>
          <w:tcPr>
            <w:tcW w:type="dxa" w:w="2437"/>
            <w:tcMar>
              <w:top w:w="80" w:type="dxa"/>
              <w:start w:w="80" w:type="dxa"/>
              <w:bottom w:w="80" w:type="dxa"/>
              <w:end w:w="80" w:type="dxa"/>
            </w:tcMar>
            <w:vAlign w:val="top"/>
          </w:tcPr>
          <w:p>
            <w:pPr>
              <w:spacing w:after="0"/>
            </w:pPr>
            <w:r>
              <w:rPr>
                <w:rFonts w:ascii="Aptos" w:hAnsi="Aptos"/>
                <w:sz w:val="14"/>
              </w:rPr>
              <w:t>CLOSED for generic gate/veto/refusal priority</w:t>
            </w:r>
          </w:p>
        </w:tc>
      </w:tr>
      <w:tr>
        <w:tc>
          <w:tcPr>
            <w:tcW w:type="dxa" w:w="2437"/>
            <w:tcMar>
              <w:top w:w="80" w:type="dxa"/>
              <w:start w:w="80" w:type="dxa"/>
              <w:bottom w:w="80" w:type="dxa"/>
              <w:end w:w="80" w:type="dxa"/>
            </w:tcMar>
            <w:vAlign w:val="top"/>
          </w:tcPr>
          <w:p>
            <w:pPr>
              <w:spacing w:after="0"/>
            </w:pPr>
            <w:r>
              <w:rPr>
                <w:rFonts w:ascii="Aptos" w:hAnsi="Aptos"/>
                <w:sz w:val="14"/>
              </w:rPr>
              <w:t>Assembly priority</w:t>
            </w:r>
          </w:p>
        </w:tc>
        <w:tc>
          <w:tcPr>
            <w:tcW w:type="dxa" w:w="2437"/>
            <w:tcMar>
              <w:top w:w="80" w:type="dxa"/>
              <w:start w:w="80" w:type="dxa"/>
              <w:bottom w:w="80" w:type="dxa"/>
              <w:end w:w="80" w:type="dxa"/>
            </w:tcMar>
            <w:vAlign w:val="top"/>
          </w:tcPr>
          <w:p>
            <w:pPr>
              <w:spacing w:after="0"/>
            </w:pPr>
            <w:r>
              <w:rPr>
                <w:rFonts w:ascii="Aptos" w:hAnsi="Aptos"/>
                <w:sz w:val="14"/>
              </w:rPr>
              <w:t>Frames + S + temporal debt/trajectory + non-compensation + ProofChain + multi-AI adversarial testing + refusal/silence</w:t>
            </w:r>
          </w:p>
        </w:tc>
        <w:tc>
          <w:tcPr>
            <w:tcW w:type="dxa" w:w="2437"/>
            <w:tcMar>
              <w:top w:w="80" w:type="dxa"/>
              <w:start w:w="80" w:type="dxa"/>
              <w:bottom w:w="80" w:type="dxa"/>
              <w:end w:w="80" w:type="dxa"/>
            </w:tcMar>
            <w:vAlign w:val="top"/>
          </w:tcPr>
          <w:p>
            <w:pPr>
              <w:spacing w:after="0"/>
            </w:pPr>
            <w:r>
              <w:rPr>
                <w:rFonts w:ascii="Aptos" w:hAnsi="Aptos"/>
                <w:sz w:val="14"/>
              </w:rPr>
              <w:t>No exact full antecedent certified in this pass</w:t>
            </w:r>
          </w:p>
        </w:tc>
        <w:tc>
          <w:tcPr>
            <w:tcW w:type="dxa" w:w="2437"/>
            <w:tcMar>
              <w:top w:w="80" w:type="dxa"/>
              <w:start w:w="80" w:type="dxa"/>
              <w:bottom w:w="80" w:type="dxa"/>
              <w:end w:w="80" w:type="dxa"/>
            </w:tcMar>
            <w:vAlign w:val="top"/>
          </w:tcPr>
          <w:p>
            <w:pPr>
              <w:spacing w:after="0"/>
            </w:pPr>
            <w:r>
              <w:rPr>
                <w:rFonts w:ascii="Aptos" w:hAnsi="Aptos"/>
                <w:sz w:val="14"/>
              </w:rPr>
              <w:t>OPEN / potentially distinctive assembly; world-first NOT ESTABLISHED</w:t>
            </w:r>
          </w:p>
        </w:tc>
      </w:tr>
    </w:tbl>
    <w:p>
      <w:pPr>
        <w:pStyle w:val="Heading2"/>
        <w:keepNext/>
        <w:keepLines/>
      </w:pPr>
      <w:r>
        <w:t>31.1 What Zoran may say after this correction</w:t>
      </w:r>
    </w:p>
    <w:p>
      <w:pPr>
        <w:spacing w:after="80"/>
      </w:pPr>
      <w:r>
        <w:rPr>
          <w:rFonts w:ascii="Aptos" w:hAnsi="Aptos"/>
          <w:sz w:val="19"/>
        </w:rPr>
        <w:t>DEFENSIBLE — Zoran is a documented research programme that combines a declared coherence/admissibility gauge with temporal trajectory evaluation, provenance/proof-chain mechanisms, multi-model adversarial evaluation and later AI-output/falsification work. Several of those components are executable or machine-readable in the public corpus.</w:t>
      </w:r>
    </w:p>
    <w:p>
      <w:pPr>
        <w:spacing w:after="80"/>
      </w:pPr>
      <w:r>
        <w:rPr>
          <w:rFonts w:ascii="Aptos" w:hAnsi="Aptos"/>
          <w:sz w:val="19"/>
        </w:rPr>
        <w:t>NOT DEFENSIBLE FROM CURRENT EVIDENCE — “first AI scientist,” “first AI to discover laws,” “first LLM falsification system,” “first formal veto for AI,” “first non-compensatory decision architecture,” or “first autonomous scientific engine.” Earlier public lineages directly anticipate those broad surfaces.</w:t>
      </w:r>
    </w:p>
    <w:p>
      <w:pPr>
        <w:spacing w:after="80"/>
      </w:pPr>
      <w:r>
        <w:rPr>
          <w:rFonts w:ascii="Aptos" w:hAnsi="Aptos"/>
          <w:sz w:val="19"/>
        </w:rPr>
        <w:t>OPEN RESEARCH CLAIM — The exact assembled architecture may still be historically distinctive. Demonstrating that requires a combinatorial prior-art search for the whole conjunction, plus primary-code verification for every Zoran component used in the conjunction. Pass 5 does not convert absence of an exact match into a world-first claim.</w:t>
      </w:r>
    </w:p>
    <w:p>
      <w:pPr>
        <w:pStyle w:val="Heading1"/>
        <w:keepNext/>
        <w:keepLines/>
      </w:pPr>
      <w:r>
        <w:t>32. International discoverability and Google Scholar / Google Search architecture</w:t>
      </w:r>
    </w:p>
    <w:p>
      <w:pPr>
        <w:spacing w:after="80"/>
      </w:pPr>
      <w:r>
        <w:rPr>
          <w:rFonts w:ascii="Aptos" w:hAnsi="Aptos"/>
          <w:sz w:val="19"/>
        </w:rPr>
        <w:t>User requirement implemented in this edition: the canonical English title is accompanied by Chinese, Spanish, Hindi, Arabic and French title variants; six localized descriptions are included; and a contents map is provided for each language. The scientific body remains primarily English so that citation identity is not fragmented.</w:t>
      </w:r>
    </w:p>
    <w:p>
      <w:pPr>
        <w:spacing w:after="80"/>
      </w:pPr>
      <w:r>
        <w:rPr>
          <w:rFonts w:ascii="Aptos" w:hAnsi="Aptos"/>
          <w:sz w:val="19"/>
        </w:rPr>
        <w:t>GOOGLE SCHOLAR RULE — The English canonical title must remain the largest text at the top of page 1, the author must appear directly below the title block, the current version date must be explicit, the PDF must contain searchable text, and a conventional “References” section must close the document. Google Scholar also recommends a unique article URL and Highwire-style HTML metadata such as citation_title, citation_author, citation_publication_date and citation_pdf_url.</w:t>
      </w:r>
    </w:p>
    <w:p>
      <w:pPr>
        <w:spacing w:after="80"/>
      </w:pPr>
      <w:r>
        <w:rPr>
          <w:rFonts w:ascii="Aptos" w:hAnsi="Aptos"/>
          <w:sz w:val="19"/>
        </w:rPr>
        <w:t>MULTILINGUAL GOOGLE SEARCH RULE — For web publication, the optimum architecture is not six side-by-side full translations on one HTML page. Google Search recommends separate language URLs linked with hreflang. The companion indexing kit generated with Pass 5 therefore uses an English canonical landing page plus localized landing-page templates for zh, es, hi, ar and fr.</w:t>
      </w:r>
    </w:p>
    <w:p>
      <w:pPr>
        <w:spacing w:after="80"/>
      </w:pPr>
      <w:r>
        <w:rPr>
          <w:rFonts w:ascii="Aptos" w:hAnsi="Aptos"/>
          <w:sz w:val="19"/>
        </w:rPr>
        <w:t>DATE-INTEGRITY GATE — Priority-sensitive metadata must never use a convenience date. Current Zoran mirror pages were observed with repeated generic dates such as 2025-01-01. Before final promotion, each landing page must be reconciled against the exact public Zenodo/version date of the source it represents. A wrong citation_publication_date can damage both historical claims and Scholar parsing.</w:t>
      </w:r>
    </w:p>
    <w:p>
      <w:pPr>
        <w:pStyle w:val="Heading2"/>
        <w:keepNext/>
        <w:keepLines/>
      </w:pPr>
      <w:r>
        <w:t>32.1 Publication metadata gate for the final 10/10 edition</w:t>
      </w:r>
    </w:p>
    <w:tbl>
      <w:tblPr>
        <w:tblStyle w:val="TableGrid"/>
        <w:tblW w:type="auto" w:w="0"/>
        <w:jc w:val="center"/>
        <w:tblLook w:firstColumn="1" w:firstRow="1" w:lastColumn="0" w:lastRow="0" w:noHBand="0" w:noVBand="1" w:val="04A0"/>
      </w:tblPr>
      <w:tblGrid>
        <w:gridCol w:w="3250"/>
        <w:gridCol w:w="3250"/>
        <w:gridCol w:w="3250"/>
      </w:tblGrid>
      <w:tr>
        <w:trPr>
          <w:tblHeader w:val="true"/>
        </w:trPr>
        <w:tc>
          <w:tcPr>
            <w:tcW w:type="dxa" w:w="3250"/>
            <w:shd w:fill="D9EAF7"/>
            <w:vAlign w:val="center"/>
            <w:tcMar>
              <w:top w:w="80" w:type="dxa"/>
              <w:start w:w="80" w:type="dxa"/>
              <w:bottom w:w="80" w:type="dxa"/>
              <w:end w:w="80" w:type="dxa"/>
            </w:tcMar>
          </w:tcPr>
          <w:p>
            <w:pPr>
              <w:jc w:val="center"/>
            </w:pPr>
            <w:r>
              <w:rPr>
                <w:rFonts w:ascii="Aptos" w:hAnsi="Aptos"/>
                <w:b/>
                <w:sz w:val="15"/>
              </w:rPr>
              <w:t>Metadata element</w:t>
            </w:r>
          </w:p>
        </w:tc>
        <w:tc>
          <w:tcPr>
            <w:tcW w:type="dxa" w:w="3250"/>
            <w:shd w:fill="D9EAF7"/>
            <w:vAlign w:val="center"/>
            <w:tcMar>
              <w:top w:w="80" w:type="dxa"/>
              <w:start w:w="80" w:type="dxa"/>
              <w:bottom w:w="80" w:type="dxa"/>
              <w:end w:w="80" w:type="dxa"/>
            </w:tcMar>
          </w:tcPr>
          <w:p>
            <w:pPr>
              <w:jc w:val="center"/>
            </w:pPr>
            <w:r>
              <w:rPr>
                <w:rFonts w:ascii="Aptos" w:hAnsi="Aptos"/>
                <w:b/>
                <w:sz w:val="15"/>
              </w:rPr>
              <w:t>Rule</w:t>
            </w:r>
          </w:p>
        </w:tc>
        <w:tc>
          <w:tcPr>
            <w:tcW w:type="dxa" w:w="3250"/>
            <w:shd w:fill="D9EAF7"/>
            <w:vAlign w:val="center"/>
            <w:tcMar>
              <w:top w:w="80" w:type="dxa"/>
              <w:start w:w="80" w:type="dxa"/>
              <w:bottom w:w="80" w:type="dxa"/>
              <w:end w:w="80" w:type="dxa"/>
            </w:tcMar>
          </w:tcPr>
          <w:p>
            <w:pPr>
              <w:jc w:val="center"/>
            </w:pPr>
            <w:r>
              <w:rPr>
                <w:rFonts w:ascii="Aptos" w:hAnsi="Aptos"/>
                <w:b/>
                <w:sz w:val="15"/>
              </w:rPr>
              <w:t>Status</w:t>
            </w:r>
          </w:p>
        </w:tc>
      </w:tr>
      <w:tr>
        <w:tc>
          <w:tcPr>
            <w:tcW w:type="dxa" w:w="3250"/>
            <w:tcMar>
              <w:top w:w="80" w:type="dxa"/>
              <w:start w:w="80" w:type="dxa"/>
              <w:bottom w:w="80" w:type="dxa"/>
              <w:end w:w="80" w:type="dxa"/>
            </w:tcMar>
            <w:vAlign w:val="top"/>
          </w:tcPr>
          <w:p>
            <w:pPr>
              <w:spacing w:after="0"/>
            </w:pPr>
            <w:r>
              <w:rPr>
                <w:rFonts w:ascii="Aptos" w:hAnsi="Aptos"/>
                <w:sz w:val="15"/>
              </w:rPr>
              <w:t>Canonical title</w:t>
            </w:r>
          </w:p>
        </w:tc>
        <w:tc>
          <w:tcPr>
            <w:tcW w:type="dxa" w:w="3250"/>
            <w:tcMar>
              <w:top w:w="80" w:type="dxa"/>
              <w:start w:w="80" w:type="dxa"/>
              <w:bottom w:w="80" w:type="dxa"/>
              <w:end w:w="80" w:type="dxa"/>
            </w:tcMar>
            <w:vAlign w:val="top"/>
          </w:tcPr>
          <w:p>
            <w:pPr>
              <w:spacing w:after="0"/>
            </w:pPr>
            <w:r>
              <w:rPr>
                <w:rFonts w:ascii="Aptos" w:hAnsi="Aptos"/>
                <w:sz w:val="15"/>
              </w:rPr>
              <w:t>One English citation title; translations are alternate titles, not competing citation_title values.</w:t>
            </w:r>
          </w:p>
        </w:tc>
        <w:tc>
          <w:tcPr>
            <w:tcW w:type="dxa" w:w="3250"/>
            <w:tcMar>
              <w:top w:w="80" w:type="dxa"/>
              <w:start w:w="80" w:type="dxa"/>
              <w:bottom w:w="80" w:type="dxa"/>
              <w:end w:w="80" w:type="dxa"/>
            </w:tcMar>
            <w:vAlign w:val="top"/>
          </w:tcPr>
          <w:p>
            <w:pPr>
              <w:spacing w:after="0"/>
            </w:pPr>
            <w:r>
              <w:rPr>
                <w:rFonts w:ascii="Aptos" w:hAnsi="Aptos"/>
                <w:sz w:val="15"/>
              </w:rPr>
              <w:t>READY in Pass 5</w:t>
            </w:r>
          </w:p>
        </w:tc>
      </w:tr>
      <w:tr>
        <w:tc>
          <w:tcPr>
            <w:tcW w:type="dxa" w:w="3250"/>
            <w:tcMar>
              <w:top w:w="80" w:type="dxa"/>
              <w:start w:w="80" w:type="dxa"/>
              <w:bottom w:w="80" w:type="dxa"/>
              <w:end w:w="80" w:type="dxa"/>
            </w:tcMar>
            <w:vAlign w:val="top"/>
          </w:tcPr>
          <w:p>
            <w:pPr>
              <w:spacing w:after="0"/>
            </w:pPr>
            <w:r>
              <w:rPr>
                <w:rFonts w:ascii="Aptos" w:hAnsi="Aptos"/>
                <w:sz w:val="15"/>
              </w:rPr>
              <w:t>Author identity</w:t>
            </w:r>
          </w:p>
        </w:tc>
        <w:tc>
          <w:tcPr>
            <w:tcW w:type="dxa" w:w="3250"/>
            <w:tcMar>
              <w:top w:w="80" w:type="dxa"/>
              <w:start w:w="80" w:type="dxa"/>
              <w:bottom w:w="80" w:type="dxa"/>
              <w:end w:w="80" w:type="dxa"/>
            </w:tcMar>
            <w:vAlign w:val="top"/>
          </w:tcPr>
          <w:p>
            <w:pPr>
              <w:spacing w:after="0"/>
            </w:pPr>
            <w:r>
              <w:rPr>
                <w:rFonts w:ascii="Aptos" w:hAnsi="Aptos"/>
                <w:sz w:val="15"/>
              </w:rPr>
              <w:t>Frédéric Tabary; ORCID 0009-0004-5562-7385; affiliation separate from author meta tag.</w:t>
            </w:r>
          </w:p>
        </w:tc>
        <w:tc>
          <w:tcPr>
            <w:tcW w:type="dxa" w:w="3250"/>
            <w:tcMar>
              <w:top w:w="80" w:type="dxa"/>
              <w:start w:w="80" w:type="dxa"/>
              <w:bottom w:w="80" w:type="dxa"/>
              <w:end w:w="80" w:type="dxa"/>
            </w:tcMar>
            <w:vAlign w:val="top"/>
          </w:tcPr>
          <w:p>
            <w:pPr>
              <w:spacing w:after="0"/>
            </w:pPr>
            <w:r>
              <w:rPr>
                <w:rFonts w:ascii="Aptos" w:hAnsi="Aptos"/>
                <w:sz w:val="15"/>
              </w:rPr>
              <w:t>READY</w:t>
            </w:r>
          </w:p>
        </w:tc>
      </w:tr>
      <w:tr>
        <w:tc>
          <w:tcPr>
            <w:tcW w:type="dxa" w:w="3250"/>
            <w:tcMar>
              <w:top w:w="80" w:type="dxa"/>
              <w:start w:w="80" w:type="dxa"/>
              <w:bottom w:w="80" w:type="dxa"/>
              <w:end w:w="80" w:type="dxa"/>
            </w:tcMar>
            <w:vAlign w:val="top"/>
          </w:tcPr>
          <w:p>
            <w:pPr>
              <w:spacing w:after="0"/>
            </w:pPr>
            <w:r>
              <w:rPr>
                <w:rFonts w:ascii="Aptos" w:hAnsi="Aptos"/>
                <w:sz w:val="15"/>
              </w:rPr>
              <w:t>Publication date</w:t>
            </w:r>
          </w:p>
        </w:tc>
        <w:tc>
          <w:tcPr>
            <w:tcW w:type="dxa" w:w="3250"/>
            <w:tcMar>
              <w:top w:w="80" w:type="dxa"/>
              <w:start w:w="80" w:type="dxa"/>
              <w:bottom w:w="80" w:type="dxa"/>
              <w:end w:w="80" w:type="dxa"/>
            </w:tcMar>
            <w:vAlign w:val="top"/>
          </w:tcPr>
          <w:p>
            <w:pPr>
              <w:spacing w:after="0"/>
            </w:pPr>
            <w:r>
              <w:rPr>
                <w:rFonts w:ascii="Aptos" w:hAnsi="Aptos"/>
                <w:sz w:val="15"/>
              </w:rPr>
              <w:t>Exact date of the version being cited; repository-entry date kept separate.</w:t>
            </w:r>
          </w:p>
        </w:tc>
        <w:tc>
          <w:tcPr>
            <w:tcW w:type="dxa" w:w="3250"/>
            <w:tcMar>
              <w:top w:w="80" w:type="dxa"/>
              <w:start w:w="80" w:type="dxa"/>
              <w:bottom w:w="80" w:type="dxa"/>
              <w:end w:w="80" w:type="dxa"/>
            </w:tcMar>
            <w:vAlign w:val="top"/>
          </w:tcPr>
          <w:p>
            <w:pPr>
              <w:spacing w:after="0"/>
            </w:pPr>
            <w:r>
              <w:rPr>
                <w:rFonts w:ascii="Aptos" w:hAnsi="Aptos"/>
                <w:sz w:val="15"/>
              </w:rPr>
              <w:t>READY for Pass 5 = 2026-08-26</w:t>
            </w:r>
          </w:p>
        </w:tc>
      </w:tr>
      <w:tr>
        <w:tc>
          <w:tcPr>
            <w:tcW w:type="dxa" w:w="3250"/>
            <w:tcMar>
              <w:top w:w="80" w:type="dxa"/>
              <w:start w:w="80" w:type="dxa"/>
              <w:bottom w:w="80" w:type="dxa"/>
              <w:end w:w="80" w:type="dxa"/>
            </w:tcMar>
            <w:vAlign w:val="top"/>
          </w:tcPr>
          <w:p>
            <w:pPr>
              <w:spacing w:after="0"/>
            </w:pPr>
            <w:r>
              <w:rPr>
                <w:rFonts w:ascii="Aptos" w:hAnsi="Aptos"/>
                <w:sz w:val="15"/>
              </w:rPr>
              <w:t>DOI</w:t>
            </w:r>
          </w:p>
        </w:tc>
        <w:tc>
          <w:tcPr>
            <w:tcW w:type="dxa" w:w="3250"/>
            <w:tcMar>
              <w:top w:w="80" w:type="dxa"/>
              <w:start w:w="80" w:type="dxa"/>
              <w:bottom w:w="80" w:type="dxa"/>
              <w:end w:w="80" w:type="dxa"/>
            </w:tcMar>
            <w:vAlign w:val="top"/>
          </w:tcPr>
          <w:p>
            <w:pPr>
              <w:spacing w:after="0"/>
            </w:pPr>
            <w:r>
              <w:rPr>
                <w:rFonts w:ascii="Aptos" w:hAnsi="Aptos"/>
                <w:sz w:val="15"/>
              </w:rPr>
              <w:t>Only after a DOI is actually minted for the final edition. Never invent or prefill.</w:t>
            </w:r>
          </w:p>
        </w:tc>
        <w:tc>
          <w:tcPr>
            <w:tcW w:type="dxa" w:w="3250"/>
            <w:tcMar>
              <w:top w:w="80" w:type="dxa"/>
              <w:start w:w="80" w:type="dxa"/>
              <w:bottom w:w="80" w:type="dxa"/>
              <w:end w:w="80" w:type="dxa"/>
            </w:tcMar>
            <w:vAlign w:val="top"/>
          </w:tcPr>
          <w:p>
            <w:pPr>
              <w:spacing w:after="0"/>
            </w:pPr>
            <w:r>
              <w:rPr>
                <w:rFonts w:ascii="Aptos" w:hAnsi="Aptos"/>
                <w:sz w:val="15"/>
              </w:rPr>
              <w:t>PENDING final publication</w:t>
            </w:r>
          </w:p>
        </w:tc>
      </w:tr>
      <w:tr>
        <w:tc>
          <w:tcPr>
            <w:tcW w:type="dxa" w:w="3250"/>
            <w:tcMar>
              <w:top w:w="80" w:type="dxa"/>
              <w:start w:w="80" w:type="dxa"/>
              <w:bottom w:w="80" w:type="dxa"/>
              <w:end w:w="80" w:type="dxa"/>
            </w:tcMar>
            <w:vAlign w:val="top"/>
          </w:tcPr>
          <w:p>
            <w:pPr>
              <w:spacing w:after="0"/>
            </w:pPr>
            <w:r>
              <w:rPr>
                <w:rFonts w:ascii="Aptos" w:hAnsi="Aptos"/>
                <w:sz w:val="15"/>
              </w:rPr>
              <w:t>PDF</w:t>
            </w:r>
          </w:p>
        </w:tc>
        <w:tc>
          <w:tcPr>
            <w:tcW w:type="dxa" w:w="3250"/>
            <w:tcMar>
              <w:top w:w="80" w:type="dxa"/>
              <w:start w:w="80" w:type="dxa"/>
              <w:bottom w:w="80" w:type="dxa"/>
              <w:end w:w="80" w:type="dxa"/>
            </w:tcMar>
            <w:vAlign w:val="top"/>
          </w:tcPr>
          <w:p>
            <w:pPr>
              <w:spacing w:after="0"/>
            </w:pPr>
            <w:r>
              <w:rPr>
                <w:rFonts w:ascii="Aptos" w:hAnsi="Aptos"/>
                <w:sz w:val="15"/>
              </w:rPr>
              <w:t>Searchable text, stable filename/URL, conventional first page and References section.</w:t>
            </w:r>
          </w:p>
        </w:tc>
        <w:tc>
          <w:tcPr>
            <w:tcW w:type="dxa" w:w="3250"/>
            <w:tcMar>
              <w:top w:w="80" w:type="dxa"/>
              <w:start w:w="80" w:type="dxa"/>
              <w:bottom w:w="80" w:type="dxa"/>
              <w:end w:w="80" w:type="dxa"/>
            </w:tcMar>
            <w:vAlign w:val="top"/>
          </w:tcPr>
          <w:p>
            <w:pPr>
              <w:spacing w:after="0"/>
            </w:pPr>
            <w:r>
              <w:rPr>
                <w:rFonts w:ascii="Aptos" w:hAnsi="Aptos"/>
                <w:sz w:val="15"/>
              </w:rPr>
              <w:t>GENERATED / QA in this pass</w:t>
            </w:r>
          </w:p>
        </w:tc>
      </w:tr>
      <w:tr>
        <w:tc>
          <w:tcPr>
            <w:tcW w:type="dxa" w:w="3250"/>
            <w:tcMar>
              <w:top w:w="80" w:type="dxa"/>
              <w:start w:w="80" w:type="dxa"/>
              <w:bottom w:w="80" w:type="dxa"/>
              <w:end w:w="80" w:type="dxa"/>
            </w:tcMar>
            <w:vAlign w:val="top"/>
          </w:tcPr>
          <w:p>
            <w:pPr>
              <w:spacing w:after="0"/>
            </w:pPr>
            <w:r>
              <w:rPr>
                <w:rFonts w:ascii="Aptos" w:hAnsi="Aptos"/>
                <w:sz w:val="15"/>
              </w:rPr>
              <w:t>HTML abstract page</w:t>
            </w:r>
          </w:p>
        </w:tc>
        <w:tc>
          <w:tcPr>
            <w:tcW w:type="dxa" w:w="3250"/>
            <w:tcMar>
              <w:top w:w="80" w:type="dxa"/>
              <w:start w:w="80" w:type="dxa"/>
              <w:bottom w:w="80" w:type="dxa"/>
              <w:end w:w="80" w:type="dxa"/>
            </w:tcMar>
            <w:vAlign w:val="top"/>
          </w:tcPr>
          <w:p>
            <w:pPr>
              <w:spacing w:after="0"/>
            </w:pPr>
            <w:r>
              <w:rPr>
                <w:rFonts w:ascii="Aptos" w:hAnsi="Aptos"/>
                <w:sz w:val="15"/>
              </w:rPr>
              <w:t>Visible full abstract + Highwire citation_* tags + link to PDF in same publication path.</w:t>
            </w:r>
          </w:p>
        </w:tc>
        <w:tc>
          <w:tcPr>
            <w:tcW w:type="dxa" w:w="3250"/>
            <w:tcMar>
              <w:top w:w="80" w:type="dxa"/>
              <w:start w:w="80" w:type="dxa"/>
              <w:bottom w:w="80" w:type="dxa"/>
              <w:end w:w="80" w:type="dxa"/>
            </w:tcMar>
            <w:vAlign w:val="top"/>
          </w:tcPr>
          <w:p>
            <w:pPr>
              <w:spacing w:after="0"/>
            </w:pPr>
            <w:r>
              <w:rPr>
                <w:rFonts w:ascii="Aptos" w:hAnsi="Aptos"/>
                <w:sz w:val="15"/>
              </w:rPr>
              <w:t>GENERATED as deployment kit</w:t>
            </w:r>
          </w:p>
        </w:tc>
      </w:tr>
      <w:tr>
        <w:tc>
          <w:tcPr>
            <w:tcW w:type="dxa" w:w="3250"/>
            <w:tcMar>
              <w:top w:w="80" w:type="dxa"/>
              <w:start w:w="80" w:type="dxa"/>
              <w:bottom w:w="80" w:type="dxa"/>
              <w:end w:w="80" w:type="dxa"/>
            </w:tcMar>
            <w:vAlign w:val="top"/>
          </w:tcPr>
          <w:p>
            <w:pPr>
              <w:spacing w:after="0"/>
            </w:pPr>
            <w:r>
              <w:rPr>
                <w:rFonts w:ascii="Aptos" w:hAnsi="Aptos"/>
                <w:sz w:val="15"/>
              </w:rPr>
              <w:t>Language architecture</w:t>
            </w:r>
          </w:p>
        </w:tc>
        <w:tc>
          <w:tcPr>
            <w:tcW w:type="dxa" w:w="3250"/>
            <w:tcMar>
              <w:top w:w="80" w:type="dxa"/>
              <w:start w:w="80" w:type="dxa"/>
              <w:bottom w:w="80" w:type="dxa"/>
              <w:end w:w="80" w:type="dxa"/>
            </w:tcMar>
            <w:vAlign w:val="top"/>
          </w:tcPr>
          <w:p>
            <w:pPr>
              <w:spacing w:after="0"/>
            </w:pPr>
            <w:r>
              <w:rPr>
                <w:rFonts w:ascii="Aptos" w:hAnsi="Aptos"/>
                <w:sz w:val="15"/>
              </w:rPr>
              <w:t>Separate localized landing URLs + reciprocal hreflang; English canonical identity retained.</w:t>
            </w:r>
          </w:p>
        </w:tc>
        <w:tc>
          <w:tcPr>
            <w:tcW w:type="dxa" w:w="3250"/>
            <w:tcMar>
              <w:top w:w="80" w:type="dxa"/>
              <w:start w:w="80" w:type="dxa"/>
              <w:bottom w:w="80" w:type="dxa"/>
              <w:end w:w="80" w:type="dxa"/>
            </w:tcMar>
            <w:vAlign w:val="top"/>
          </w:tcPr>
          <w:p>
            <w:pPr>
              <w:spacing w:after="0"/>
            </w:pPr>
            <w:r>
              <w:rPr>
                <w:rFonts w:ascii="Aptos" w:hAnsi="Aptos"/>
                <w:sz w:val="15"/>
              </w:rPr>
              <w:t>GENERATED as deployment kit</w:t>
            </w:r>
          </w:p>
        </w:tc>
      </w:tr>
      <w:tr>
        <w:tc>
          <w:tcPr>
            <w:tcW w:type="dxa" w:w="3250"/>
            <w:tcMar>
              <w:top w:w="80" w:type="dxa"/>
              <w:start w:w="80" w:type="dxa"/>
              <w:bottom w:w="80" w:type="dxa"/>
              <w:end w:w="80" w:type="dxa"/>
            </w:tcMar>
            <w:vAlign w:val="top"/>
          </w:tcPr>
          <w:p>
            <w:pPr>
              <w:spacing w:after="0"/>
            </w:pPr>
            <w:r>
              <w:rPr>
                <w:rFonts w:ascii="Aptos" w:hAnsi="Aptos"/>
                <w:sz w:val="15"/>
              </w:rPr>
              <w:t>Metadata consistency</w:t>
            </w:r>
          </w:p>
        </w:tc>
        <w:tc>
          <w:tcPr>
            <w:tcW w:type="dxa" w:w="3250"/>
            <w:tcMar>
              <w:top w:w="80" w:type="dxa"/>
              <w:start w:w="80" w:type="dxa"/>
              <w:bottom w:w="80" w:type="dxa"/>
              <w:end w:w="80" w:type="dxa"/>
            </w:tcMar>
            <w:vAlign w:val="top"/>
          </w:tcPr>
          <w:p>
            <w:pPr>
              <w:spacing w:after="0"/>
            </w:pPr>
            <w:r>
              <w:rPr>
                <w:rFonts w:ascii="Aptos" w:hAnsi="Aptos"/>
                <w:sz w:val="15"/>
              </w:rPr>
              <w:t>Title/date/DOI/author must match across PDF, HTML, Zenodo, GitHub Pages, ORCID and citation file.</w:t>
            </w:r>
          </w:p>
        </w:tc>
        <w:tc>
          <w:tcPr>
            <w:tcW w:type="dxa" w:w="3250"/>
            <w:tcMar>
              <w:top w:w="80" w:type="dxa"/>
              <w:start w:w="80" w:type="dxa"/>
              <w:bottom w:w="80" w:type="dxa"/>
              <w:end w:w="80" w:type="dxa"/>
            </w:tcMar>
            <w:vAlign w:val="top"/>
          </w:tcPr>
          <w:p>
            <w:pPr>
              <w:spacing w:after="0"/>
            </w:pPr>
            <w:r>
              <w:rPr>
                <w:rFonts w:ascii="Aptos" w:hAnsi="Aptos"/>
                <w:sz w:val="15"/>
              </w:rPr>
              <w:t>BLOCKING GATE for final 10/10</w:t>
            </w:r>
          </w:p>
        </w:tc>
      </w:tr>
    </w:tbl>
    <w:p>
      <w:pPr>
        <w:pStyle w:val="Heading1"/>
        <w:keepNext/>
        <w:keepLines/>
      </w:pPr>
      <w:r>
        <w:t>33. Pass 5 conclusions</w:t>
      </w:r>
    </w:p>
    <w:p>
      <w:pPr>
        <w:spacing w:after="80"/>
      </w:pPr>
      <w:r>
        <w:rPr>
          <w:rFonts w:ascii="Aptos" w:hAnsi="Aptos"/>
          <w:sz w:val="19"/>
        </w:rPr>
        <w:t>1 — BROAD AI PRIORITY CLOSED. Zoran is not first in autonomous science, symbolic equation discovery, evaluator-guided LLM discovery, LLM-driven experimentation or end-to-end AI research.</w:t>
      </w:r>
    </w:p>
    <w:p>
      <w:pPr>
        <w:spacing w:after="80"/>
      </w:pPr>
      <w:r>
        <w:rPr>
          <w:rFonts w:ascii="Aptos" w:hAnsi="Aptos"/>
          <w:sz w:val="19"/>
        </w:rPr>
        <w:t>2 — LLM FALSIFICATION PRIORITY CLOSED. POPPER, publicly submitted on 14 February 2025, is a direct pre-Zoran agentic-falsification antecedent and must be cited whenever broad LLM-falsification priority is discussed.</w:t>
      </w:r>
    </w:p>
    <w:p>
      <w:pPr>
        <w:spacing w:after="80"/>
      </w:pPr>
      <w:r>
        <w:rPr>
          <w:rFonts w:ascii="Aptos" w:hAnsi="Aptos"/>
          <w:sz w:val="19"/>
        </w:rPr>
        <w:t>3 — GENERIC VETO / NON-COMPENSATION PRIORITY CLOSED. Formal shields and non-compensatory multicriteria decision methods long predate Zoran. The defensible question is the semantics and assembly of Zoran’s gate, not invention of veto itself.</w:t>
      </w:r>
    </w:p>
    <w:p>
      <w:pPr>
        <w:spacing w:after="80"/>
      </w:pPr>
      <w:r>
        <w:rPr>
          <w:rFonts w:ascii="Aptos" w:hAnsi="Aptos"/>
          <w:sz w:val="19"/>
        </w:rPr>
        <w:t>4 — ZORAN EXECUTABLE STACK PARTLY VERIFIED. GHUC Ω8 provides a dated machine-readable architecture and ProofChain design; ZBench provides a genuine multi-AI/red-team protocol. The recovered Unified Discovery Engine code is substantially narrower than its title and is classified accordingly.</w:t>
      </w:r>
    </w:p>
    <w:p>
      <w:pPr>
        <w:spacing w:after="80"/>
      </w:pPr>
      <w:r>
        <w:rPr>
          <w:rFonts w:ascii="Aptos" w:hAnsi="Aptos"/>
          <w:sz w:val="19"/>
        </w:rPr>
        <w:t>5 — ASSEMBLY PRIORITY REMAINS OPEN. No exact full antecedent has yet been certified for the conjunction of frame-declared phenomenal coherence, S-gauge, temporal admissibility/debt, non-compensation, proof-chain traceability, multi-AI adversarial testing and refusal/silence. This is a research question, not a world-first conclusion.</w:t>
      </w:r>
    </w:p>
    <w:p>
      <w:pPr>
        <w:spacing w:after="80"/>
      </w:pPr>
      <w:r>
        <w:rPr>
          <w:rFonts w:ascii="Aptos" w:hAnsi="Aptos"/>
          <w:sz w:val="19"/>
        </w:rPr>
        <w:t>6 — DISCOVERABILITY UPGRADED. Pass 5 establishes a six-language title/abstract layer and a publication architecture aligned with current Google Scholar and Google Search guidance. Actual indexing cannot be guaranteed by document formatting alone; it also depends on correct hosting, crawlability and stable URLs.</w:t>
      </w:r>
    </w:p>
    <w:p>
      <w:pPr>
        <w:spacing w:after="80"/>
      </w:pPr>
      <w:r>
        <w:rPr>
          <w:rFonts w:ascii="Aptos" w:hAnsi="Aptos"/>
          <w:sz w:val="19"/>
        </w:rPr>
        <w:t>7 — METADATA DEBT IDENTIFIED. Placeholder or mismatched dates/titles in the current mirror are priority-relevant defects. They must be reconciled before final 10/10 publication.</w:t>
      </w:r>
    </w:p>
    <w:p>
      <w:pPr>
        <w:pStyle w:val="Heading1"/>
        <w:keepNext/>
        <w:keepLines/>
      </w:pPr>
      <w:r>
        <w:t>34. Sources added in Pass 5</w:t>
      </w:r>
    </w:p>
    <w:p>
      <w:pPr>
        <w:pStyle w:val="Bibliography"/>
        <w:spacing w:after="40"/>
      </w:pPr>
      <w:r>
        <w:rPr>
          <w:sz w:val="17"/>
        </w:rPr>
        <w:t>King, R. D. et al. (2009). The automation of science. Science 324(5923), 85–89. DOI: 10.1126/science.1165620.</w:t>
      </w:r>
    </w:p>
    <w:p>
      <w:pPr>
        <w:pStyle w:val="Bibliography"/>
        <w:spacing w:after="40"/>
      </w:pPr>
      <w:r>
        <w:rPr>
          <w:sz w:val="17"/>
        </w:rPr>
        <w:t>Udrescu, S.-M. &amp; Tegmark, M. (2019 preprint; 2020 journal). AI Feynman: A physics-inspired method for symbolic regression. Science Advances 6(16), eaay2631. DOI: 10.1126/sciadv.aay2631; arXiv:1905.11481.</w:t>
      </w:r>
    </w:p>
    <w:p>
      <w:pPr>
        <w:pStyle w:val="Bibliography"/>
        <w:spacing w:after="40"/>
      </w:pPr>
      <w:r>
        <w:rPr>
          <w:sz w:val="17"/>
        </w:rPr>
        <w:t>Romera-Paredes, B. et al. (2023/2024). Mathematical discoveries from program search with large language models. Nature 625, 468–475. Published online 14 Dec 2023. DOI: 10.1038/s41586-023-06924-6.</w:t>
      </w:r>
    </w:p>
    <w:p>
      <w:pPr>
        <w:pStyle w:val="Bibliography"/>
        <w:spacing w:after="40"/>
      </w:pPr>
      <w:r>
        <w:rPr>
          <w:sz w:val="17"/>
        </w:rPr>
        <w:t>Boiko, D. A., MacKnight, R., Kline, B. &amp; Gomes, G. (2023). Autonomous chemical research with large language models. Nature 624, 570–578. DOI: 10.1038/s41586-023-06792-0.</w:t>
      </w:r>
    </w:p>
    <w:p>
      <w:pPr>
        <w:pStyle w:val="Bibliography"/>
        <w:spacing w:after="40"/>
      </w:pPr>
      <w:r>
        <w:rPr>
          <w:sz w:val="17"/>
        </w:rPr>
        <w:t>Lu, C., Lu, C., Lange, R. T., Foerster, J., Clune, J. &amp; Ha, D. (2024). The AI Scientist: Towards Fully Automated Open-Ended Scientific Discovery. arXiv:2408.06292, first submitted 12 Aug 2024.</w:t>
      </w:r>
    </w:p>
    <w:p>
      <w:pPr>
        <w:pStyle w:val="Bibliography"/>
        <w:spacing w:after="40"/>
      </w:pPr>
      <w:r>
        <w:rPr>
          <w:sz w:val="17"/>
        </w:rPr>
        <w:t>Huang, K., Jin, Y., Li, R., Li, M. Y., Candès, E. &amp; Leskovec, J. (2025). Automated Hypothesis Validation with Agentic Sequential Falsifications. arXiv:2502.09858, first submitted 14 Feb 2025.</w:t>
      </w:r>
    </w:p>
    <w:p>
      <w:pPr>
        <w:pStyle w:val="Bibliography"/>
        <w:spacing w:after="40"/>
      </w:pPr>
      <w:r>
        <w:rPr>
          <w:sz w:val="17"/>
        </w:rPr>
        <w:t>Alshiekh, M. et al. (2017 preprint; 2018 conference). Safe Reinforcement Learning via Shielding. AAAI 32(1). DOI: 10.1609/aaai.v32i1.11797; arXiv:1708.08611.</w:t>
      </w:r>
    </w:p>
    <w:p>
      <w:pPr>
        <w:pStyle w:val="Bibliography"/>
        <w:spacing w:after="40"/>
      </w:pPr>
      <w:r>
        <w:rPr>
          <w:sz w:val="17"/>
        </w:rPr>
        <w:t>Govindan, K. &amp; Jepsen, M. B. (2016). ELECTRE: A comprehensive literature review on methodologies and applications. European Journal of Operational Research 250(1), 1–29. DOI: 10.1016/j.ejor.2015.07.019.</w:t>
      </w:r>
    </w:p>
    <w:p>
      <w:pPr>
        <w:pStyle w:val="Bibliography"/>
        <w:spacing w:after="40"/>
      </w:pPr>
      <w:r>
        <w:rPr>
          <w:sz w:val="17"/>
        </w:rPr>
        <w:t>Google Scholar Help. Inclusion Guidelines for Webmasters. Accessed 26 Aug 2026. https://scholar.google.com/intl/en/scholar/inclusion.html</w:t>
      </w:r>
    </w:p>
    <w:p>
      <w:pPr>
        <w:pStyle w:val="Bibliography"/>
        <w:spacing w:after="40"/>
      </w:pPr>
      <w:r>
        <w:rPr>
          <w:sz w:val="17"/>
        </w:rPr>
        <w:t>Google Search Central. Managing Multi-Regional and Multilingual Sites; Localized Versions of Your Pages. Accessed 26 Aug 2026. https://developers.google.com/search/docs/specialty/international/</w:t>
      </w:r>
    </w:p>
    <w:p>
      <w:pPr>
        <w:pStyle w:val="Bibliography"/>
        <w:spacing w:after="40"/>
      </w:pPr>
      <w:r>
        <w:rPr>
          <w:sz w:val="17"/>
        </w:rPr>
        <w:t>Zoran corpus mirror: GHUC Ω8 manifest (mirror folder 17571502; primary DOI 10.5281/zenodo.17571503), timestamp 2025-11-10T00:00:00Z; module/provenance inventory.</w:t>
      </w:r>
    </w:p>
    <w:p>
      <w:pPr>
        <w:pStyle w:val="Bibliography"/>
        <w:spacing w:after="40"/>
      </w:pPr>
      <w:r>
        <w:rPr>
          <w:sz w:val="17"/>
        </w:rPr>
        <w:t>Zoran corpus: Unified Discovery Engine Ω7.3 / associated executable mirror (DOI 10.5281/zenodo.17559007; code associated in 17559449). Pass-5 classification based on recovered executable behavior.</w:t>
      </w:r>
    </w:p>
    <w:p>
      <w:pPr>
        <w:pStyle w:val="Bibliography"/>
        <w:spacing w:after="40"/>
      </w:pPr>
      <w:r>
        <w:rPr>
          <w:sz w:val="17"/>
        </w:rPr>
        <w:t>Zoran corpus: ZBench Ω9 package, DOI 10.5281/zenodo.17609005; English multi-AI peer-review / evaluation document and package inventory.</w:t>
      </w:r>
    </w:p>
    <w:p>
      <w:pPr>
        <w:pStyle w:val="Bibliography"/>
        <w:spacing w:after="40"/>
      </w:pPr>
      <w:r>
        <w:rPr>
          <w:sz w:val="17"/>
        </w:rPr>
        <w:t>Zoran public corpus map, 5 Feb 2026 Substack edition, listing DOI 10.5281/zenodo.18497598, 18499943, 18500363, 18516353 and 18526755 among the current coherence / AI research stack.</w:t>
      </w:r>
    </w:p>
    <w:p>
      <w:pPr>
        <w:pStyle w:val="Bibliography"/>
        <w:spacing w:after="40"/>
      </w:pPr>
      <w:r>
        <w:rPr>
          <w:sz w:val="17"/>
        </w:rPr>
        <w:t>Zoran public books/white-papers repository: “White paper zoran Protocole de falsification distribuée v1.docx” — primary binary artefact present; detailed code-level audit carried forward because the connected text surface does not expose its full parsed content.</w:t>
      </w:r>
    </w:p>
    <w:p>
      <w:pPr>
        <w:pStyle w:val="Heading1"/>
        <w:keepNext/>
        <w:keepLines/>
      </w:pPr>
      <w:r>
        <w:t>35. Work carried to Pass 6/10</w:t>
      </w:r>
    </w:p>
    <w:p>
      <w:pPr>
        <w:pStyle w:val="ListBullet"/>
      </w:pPr>
      <w:r>
        <w:rPr>
          <w:rFonts w:ascii="Aptos" w:hAnsi="Aptos"/>
          <w:sz w:val="18"/>
        </w:rPr>
        <w:t>Build an empirical-validation ledger: for every major Zoran and external programme, separate simulation vectors, datasets, experiments, model evaluations, red-team attacks, falsification attempts and independent replications.</w:t>
      </w:r>
    </w:p>
    <w:p>
      <w:pPr>
        <w:pStyle w:val="ListBullet"/>
      </w:pPr>
      <w:r>
        <w:rPr>
          <w:rFonts w:ascii="Aptos" w:hAnsi="Aptos"/>
          <w:sz w:val="18"/>
        </w:rPr>
        <w:t>Reproduce or independently re-run the strongest quantitative claims where public code/data permit it; mark every inaccessible or non-reproducible claim as NON_MESURÉ rather than inferred.</w:t>
      </w:r>
    </w:p>
    <w:p>
      <w:pPr>
        <w:pStyle w:val="ListBullet"/>
      </w:pPr>
      <w:r>
        <w:rPr>
          <w:rFonts w:ascii="Aptos" w:hAnsi="Aptos"/>
          <w:sz w:val="18"/>
        </w:rPr>
        <w:t>Extract the primary text/code of DOI 17804030, 18497598, 18499943, 18500363 and 18526755 and reconcile their exact Zenodo dates/titles against GitHub mirror metadata.</w:t>
      </w:r>
    </w:p>
    <w:p>
      <w:pPr>
        <w:pStyle w:val="ListBullet"/>
      </w:pPr>
      <w:r>
        <w:rPr>
          <w:rFonts w:ascii="Aptos" w:hAnsi="Aptos"/>
          <w:sz w:val="18"/>
        </w:rPr>
        <w:t>Continue the exact-combination prior-art search for the Zoran assembly claim, including formal methods, decision theory, autonomous science, AI safety, epistemic logic and reproducible-science infrastructure.</w:t>
      </w:r>
    </w:p>
    <w:p>
      <w:pPr>
        <w:pStyle w:val="ListBullet"/>
      </w:pPr>
      <w:r>
        <w:rPr>
          <w:rFonts w:ascii="Aptos" w:hAnsi="Aptos"/>
          <w:sz w:val="18"/>
        </w:rPr>
        <w:t>Build the source-level licence ledger independently from scientific similarity, with paper licence, code licence, dataset licence and patent/reuse restrictions separated.</w:t>
      </w:r>
    </w:p>
    <w:p>
      <w:pPr>
        <w:spacing w:after="80"/>
      </w:pPr>
      <w:r>
        <w:rPr>
          <w:rFonts w:ascii="Aptos" w:hAnsi="Aptos"/>
          <w:sz w:val="19"/>
        </w:rPr>
        <w:t>Working canonical gauge retained for this pass: S = (β × ΔΦ) / (T × σ × 1). The ×1 factor is mathematically neutral; no priority claim is attached to it.</w:t>
      </w:r>
    </w:p>
    <w:p>
      <w:r>
        <w:br w:type="page"/>
      </w:r>
    </w:p>
    <w:p>
      <w:pPr>
        <w:pStyle w:val="Heading1"/>
        <w:keepNext/>
        <w:keepLines/>
      </w:pPr>
      <w:r>
        <w:t>36. Pass 6/10 — Empirical validation, reproducibility, metadata integrity and licences</w:t>
      </w:r>
    </w:p>
    <w:p>
      <w:pPr>
        <w:spacing w:after="100"/>
      </w:pPr>
      <w:r>
        <w:rPr>
          <w:b/>
        </w:rPr>
        <w:t xml:space="preserve">Purpose — </w:t>
      </w:r>
      <w:r>
        <w:t>Convert quantitative rhetoric into an evidence ledger. Every count is assigned to the category it actually represents. Public code is re-run or audited where feasible; non-reproducible claims remain NON_MESURÉ. Priority and reuse rights are treated as separate questions.</w:t>
      </w:r>
    </w:p>
    <w:p>
      <w:pPr>
        <w:spacing w:after="100"/>
      </w:pPr>
      <w:r>
        <w:rPr>
          <w:b/>
        </w:rPr>
        <w:t xml:space="preserve">Audit date — </w:t>
      </w:r>
      <w:r>
        <w:t>26 August 2026. Web/Zenodo metadata and repository state are reported as observed on this date; later changes may alter the publication layer but cannot be silently backdated.</w:t>
      </w:r>
    </w:p>
    <w:p>
      <w:pPr>
        <w:pStyle w:val="Heading2"/>
        <w:keepNext/>
        <w:keepLines/>
      </w:pPr>
      <w:r>
        <w:t>36.1 Evidence taxonomy used from this pass onward</w:t>
      </w:r>
    </w:p>
    <w:tbl>
      <w:tblPr>
        <w:tblStyle w:val="TableGrid"/>
        <w:tblW w:type="auto" w:w="0"/>
        <w:jc w:val="center"/>
        <w:tblLayout w:type="autofit"/>
        <w:tblLook w:firstColumn="1" w:firstRow="1" w:lastColumn="0" w:lastRow="0" w:noHBand="0" w:noVBand="1" w:val="04A0"/>
      </w:tblPr>
      <w:tblGrid>
        <w:gridCol w:w="3250"/>
        <w:gridCol w:w="3250"/>
        <w:gridCol w:w="3250"/>
      </w:tblGrid>
      <w:tr>
        <w:trPr>
          <w:tblHeader w:val="true"/>
        </w:trPr>
        <w:tc>
          <w:tcPr>
            <w:tcW w:type="dxa" w:w="1871"/>
            <w:vAlign w:val="center"/>
            <w:shd w:fill="D9EAF7"/>
          </w:tcPr>
          <w:p>
            <w:pPr>
              <w:spacing w:after="0" w:before="0"/>
            </w:pPr>
            <w:r/>
            <w:r>
              <w:rPr>
                <w:b/>
                <w:sz w:val="14"/>
              </w:rPr>
              <w:t>Class</w:t>
            </w:r>
          </w:p>
        </w:tc>
        <w:tc>
          <w:tcPr>
            <w:tcW w:type="dxa" w:w="3628"/>
            <w:vAlign w:val="center"/>
            <w:shd w:fill="D9EAF7"/>
          </w:tcPr>
          <w:p>
            <w:pPr>
              <w:spacing w:after="0" w:before="0"/>
            </w:pPr>
            <w:r/>
            <w:r>
              <w:rPr>
                <w:b/>
                <w:sz w:val="14"/>
              </w:rPr>
              <w:t>Definition</w:t>
            </w:r>
          </w:p>
        </w:tc>
        <w:tc>
          <w:tcPr>
            <w:tcW w:type="dxa" w:w="3969"/>
            <w:vAlign w:val="center"/>
            <w:shd w:fill="D9EAF7"/>
          </w:tcPr>
          <w:p>
            <w:pPr>
              <w:spacing w:after="0" w:before="0"/>
            </w:pPr>
            <w:r/>
            <w:r>
              <w:rPr>
                <w:b/>
                <w:sz w:val="14"/>
              </w:rPr>
              <w:t>Allowed inference</w:t>
            </w:r>
          </w:p>
        </w:tc>
      </w:tr>
      <w:tr>
        <w:trPr>
          <w:cantSplit/>
        </w:trPr>
        <w:tc>
          <w:tcPr>
            <w:tcW w:type="dxa" w:w="1871"/>
            <w:vAlign w:val="center"/>
          </w:tcPr>
          <w:p>
            <w:pPr>
              <w:spacing w:after="0" w:before="0"/>
            </w:pPr>
            <w:r/>
            <w:r>
              <w:rPr>
                <w:b w:val="0"/>
                <w:sz w:val="14"/>
              </w:rPr>
              <w:t>SIMULATION VECTOR</w:t>
            </w:r>
          </w:p>
        </w:tc>
        <w:tc>
          <w:tcPr>
            <w:tcW w:type="dxa" w:w="3628"/>
            <w:vAlign w:val="center"/>
          </w:tcPr>
          <w:p>
            <w:pPr>
              <w:spacing w:after="0" w:before="0"/>
            </w:pPr>
            <w:r/>
            <w:r>
              <w:rPr>
                <w:b w:val="0"/>
                <w:sz w:val="14"/>
              </w:rPr>
              <w:t>Synthetic draw or parameter point produced by a defined generator.</w:t>
            </w:r>
          </w:p>
        </w:tc>
        <w:tc>
          <w:tcPr>
            <w:tcW w:type="dxa" w:w="3969"/>
            <w:vAlign w:val="center"/>
          </w:tcPr>
          <w:p>
            <w:pPr>
              <w:spacing w:after="0" w:before="0"/>
            </w:pPr>
            <w:r/>
            <w:r>
              <w:rPr>
                <w:b w:val="0"/>
                <w:sz w:val="14"/>
              </w:rPr>
              <w:t>Can test code behavior; cannot by itself establish empirical reality.</w:t>
            </w:r>
          </w:p>
        </w:tc>
      </w:tr>
      <w:tr>
        <w:trPr>
          <w:cantSplit/>
        </w:trPr>
        <w:tc>
          <w:tcPr>
            <w:tcW w:type="dxa" w:w="1871"/>
            <w:vAlign w:val="center"/>
          </w:tcPr>
          <w:p>
            <w:pPr>
              <w:spacing w:after="0" w:before="0"/>
            </w:pPr>
            <w:r/>
            <w:r>
              <w:rPr>
                <w:b w:val="0"/>
                <w:sz w:val="14"/>
              </w:rPr>
              <w:t>DATASET OBSERVATION</w:t>
            </w:r>
          </w:p>
        </w:tc>
        <w:tc>
          <w:tcPr>
            <w:tcW w:type="dxa" w:w="3628"/>
            <w:vAlign w:val="center"/>
          </w:tcPr>
          <w:p>
            <w:pPr>
              <w:spacing w:after="0" w:before="0"/>
            </w:pPr>
            <w:r/>
            <w:r>
              <w:rPr>
                <w:b w:val="0"/>
                <w:sz w:val="14"/>
              </w:rPr>
              <w:t>Recorded observation from a named public/private dataset.</w:t>
            </w:r>
          </w:p>
        </w:tc>
        <w:tc>
          <w:tcPr>
            <w:tcW w:type="dxa" w:w="3969"/>
            <w:vAlign w:val="center"/>
          </w:tcPr>
          <w:p>
            <w:pPr>
              <w:spacing w:after="0" w:before="0"/>
            </w:pPr>
            <w:r/>
            <w:r>
              <w:rPr>
                <w:b w:val="0"/>
                <w:sz w:val="14"/>
              </w:rPr>
              <w:t>Empirical only to the extent provenance and measurement are documented.</w:t>
            </w:r>
          </w:p>
        </w:tc>
      </w:tr>
      <w:tr>
        <w:trPr>
          <w:cantSplit/>
        </w:trPr>
        <w:tc>
          <w:tcPr>
            <w:tcW w:type="dxa" w:w="1871"/>
            <w:vAlign w:val="center"/>
          </w:tcPr>
          <w:p>
            <w:pPr>
              <w:spacing w:after="0" w:before="0"/>
            </w:pPr>
            <w:r/>
            <w:r>
              <w:rPr>
                <w:b w:val="0"/>
                <w:sz w:val="14"/>
              </w:rPr>
              <w:t>PHYSICAL EXPERIMENT</w:t>
            </w:r>
          </w:p>
        </w:tc>
        <w:tc>
          <w:tcPr>
            <w:tcW w:type="dxa" w:w="3628"/>
            <w:vAlign w:val="center"/>
          </w:tcPr>
          <w:p>
            <w:pPr>
              <w:spacing w:after="0" w:before="0"/>
            </w:pPr>
            <w:r/>
            <w:r>
              <w:rPr>
                <w:b w:val="0"/>
                <w:sz w:val="14"/>
              </w:rPr>
              <w:t>Intervention/measurement in a physical or biological system.</w:t>
            </w:r>
          </w:p>
        </w:tc>
        <w:tc>
          <w:tcPr>
            <w:tcW w:type="dxa" w:w="3969"/>
            <w:vAlign w:val="center"/>
          </w:tcPr>
          <w:p>
            <w:pPr>
              <w:spacing w:after="0" w:before="0"/>
            </w:pPr>
            <w:r/>
            <w:r>
              <w:rPr>
                <w:b w:val="0"/>
                <w:sz w:val="14"/>
              </w:rPr>
              <w:t>Strong domain evidence when protocol and uncertainty are reported.</w:t>
            </w:r>
          </w:p>
        </w:tc>
      </w:tr>
      <w:tr>
        <w:trPr>
          <w:cantSplit/>
        </w:trPr>
        <w:tc>
          <w:tcPr>
            <w:tcW w:type="dxa" w:w="1871"/>
            <w:vAlign w:val="center"/>
          </w:tcPr>
          <w:p>
            <w:pPr>
              <w:spacing w:after="0" w:before="0"/>
            </w:pPr>
            <w:r/>
            <w:r>
              <w:rPr>
                <w:b w:val="0"/>
                <w:sz w:val="14"/>
              </w:rPr>
              <w:t>MODEL EVALUATION</w:t>
            </w:r>
          </w:p>
        </w:tc>
        <w:tc>
          <w:tcPr>
            <w:tcW w:type="dxa" w:w="3628"/>
            <w:vAlign w:val="center"/>
          </w:tcPr>
          <w:p>
            <w:pPr>
              <w:spacing w:after="0" w:before="0"/>
            </w:pPr>
            <w:r/>
            <w:r>
              <w:rPr>
                <w:b w:val="0"/>
                <w:sz w:val="14"/>
              </w:rPr>
              <w:t>One or more AI/model runs on a declared test surface.</w:t>
            </w:r>
          </w:p>
        </w:tc>
        <w:tc>
          <w:tcPr>
            <w:tcW w:type="dxa" w:w="3969"/>
            <w:vAlign w:val="center"/>
          </w:tcPr>
          <w:p>
            <w:pPr>
              <w:spacing w:after="0" w:before="0"/>
            </w:pPr>
            <w:r/>
            <w:r>
              <w:rPr>
                <w:b w:val="0"/>
                <w:sz w:val="14"/>
              </w:rPr>
              <w:t>Measures model behavior; models are not independent scientific replications.</w:t>
            </w:r>
          </w:p>
        </w:tc>
      </w:tr>
      <w:tr>
        <w:trPr>
          <w:cantSplit/>
        </w:trPr>
        <w:tc>
          <w:tcPr>
            <w:tcW w:type="dxa" w:w="1871"/>
            <w:vAlign w:val="center"/>
          </w:tcPr>
          <w:p>
            <w:pPr>
              <w:spacing w:after="0" w:before="0"/>
            </w:pPr>
            <w:r/>
            <w:r>
              <w:rPr>
                <w:b w:val="0"/>
                <w:sz w:val="14"/>
              </w:rPr>
              <w:t>RED-TEAM ATTACK</w:t>
            </w:r>
          </w:p>
        </w:tc>
        <w:tc>
          <w:tcPr>
            <w:tcW w:type="dxa" w:w="3628"/>
            <w:vAlign w:val="center"/>
          </w:tcPr>
          <w:p>
            <w:pPr>
              <w:spacing w:after="0" w:before="0"/>
            </w:pPr>
            <w:r/>
            <w:r>
              <w:rPr>
                <w:b w:val="0"/>
                <w:sz w:val="14"/>
              </w:rPr>
              <w:t>Adversarial prompt/test case.</w:t>
            </w:r>
          </w:p>
        </w:tc>
        <w:tc>
          <w:tcPr>
            <w:tcW w:type="dxa" w:w="3969"/>
            <w:vAlign w:val="center"/>
          </w:tcPr>
          <w:p>
            <w:pPr>
              <w:spacing w:after="0" w:before="0"/>
            </w:pPr>
            <w:r/>
            <w:r>
              <w:rPr>
                <w:b w:val="0"/>
                <w:sz w:val="14"/>
              </w:rPr>
              <w:t>Security/robustness evidence, not a scientific replication count.</w:t>
            </w:r>
          </w:p>
        </w:tc>
      </w:tr>
      <w:tr>
        <w:trPr>
          <w:cantSplit/>
        </w:trPr>
        <w:tc>
          <w:tcPr>
            <w:tcW w:type="dxa" w:w="1871"/>
            <w:vAlign w:val="center"/>
          </w:tcPr>
          <w:p>
            <w:pPr>
              <w:spacing w:after="0" w:before="0"/>
            </w:pPr>
            <w:r/>
            <w:r>
              <w:rPr>
                <w:b w:val="0"/>
                <w:sz w:val="14"/>
              </w:rPr>
              <w:t>FALSIFICATION ATTEMPT</w:t>
            </w:r>
          </w:p>
        </w:tc>
        <w:tc>
          <w:tcPr>
            <w:tcW w:type="dxa" w:w="3628"/>
            <w:vAlign w:val="center"/>
          </w:tcPr>
          <w:p>
            <w:pPr>
              <w:spacing w:after="0" w:before="0"/>
            </w:pPr>
            <w:r/>
            <w:r>
              <w:rPr>
                <w:b w:val="0"/>
                <w:sz w:val="14"/>
              </w:rPr>
              <w:t>A test designed so a defined observation could reject a claim.</w:t>
            </w:r>
          </w:p>
        </w:tc>
        <w:tc>
          <w:tcPr>
            <w:tcW w:type="dxa" w:w="3969"/>
            <w:vAlign w:val="center"/>
          </w:tcPr>
          <w:p>
            <w:pPr>
              <w:spacing w:after="0" w:before="0"/>
            </w:pPr>
            <w:r/>
            <w:r>
              <w:rPr>
                <w:b w:val="0"/>
                <w:sz w:val="14"/>
              </w:rPr>
              <w:t>Evidence of testability; a non-rejection is not confirmation of universality.</w:t>
            </w:r>
          </w:p>
        </w:tc>
      </w:tr>
      <w:tr>
        <w:trPr>
          <w:cantSplit/>
        </w:trPr>
        <w:tc>
          <w:tcPr>
            <w:tcW w:type="dxa" w:w="1871"/>
            <w:vAlign w:val="center"/>
          </w:tcPr>
          <w:p>
            <w:pPr>
              <w:spacing w:after="0" w:before="0"/>
            </w:pPr>
            <w:r/>
            <w:r>
              <w:rPr>
                <w:b w:val="0"/>
                <w:sz w:val="14"/>
              </w:rPr>
              <w:t>INDEPENDENT REPLICATION</w:t>
            </w:r>
          </w:p>
        </w:tc>
        <w:tc>
          <w:tcPr>
            <w:tcW w:type="dxa" w:w="3628"/>
            <w:vAlign w:val="center"/>
          </w:tcPr>
          <w:p>
            <w:pPr>
              <w:spacing w:after="0" w:before="0"/>
            </w:pPr>
            <w:r/>
            <w:r>
              <w:rPr>
                <w:b w:val="0"/>
                <w:sz w:val="14"/>
              </w:rPr>
              <w:t>Independent team/data/code path reproduces a specified result.</w:t>
            </w:r>
          </w:p>
        </w:tc>
        <w:tc>
          <w:tcPr>
            <w:tcW w:type="dxa" w:w="3969"/>
            <w:vAlign w:val="center"/>
          </w:tcPr>
          <w:p>
            <w:pPr>
              <w:spacing w:after="0" w:before="0"/>
            </w:pPr>
            <w:r/>
            <w:r>
              <w:rPr>
                <w:b w:val="0"/>
                <w:sz w:val="14"/>
              </w:rPr>
              <w:t>Strongest category here; requires independence and matched target claim.</w:t>
            </w:r>
          </w:p>
        </w:tc>
      </w:tr>
      <w:tr>
        <w:trPr>
          <w:cantSplit/>
        </w:trPr>
        <w:tc>
          <w:tcPr>
            <w:tcW w:type="dxa" w:w="1871"/>
            <w:vAlign w:val="center"/>
          </w:tcPr>
          <w:p>
            <w:pPr>
              <w:spacing w:after="0" w:before="0"/>
            </w:pPr>
            <w:r/>
            <w:r>
              <w:rPr>
                <w:b w:val="0"/>
                <w:sz w:val="14"/>
              </w:rPr>
              <w:t>FORMAL / SPECIFICATION</w:t>
            </w:r>
          </w:p>
        </w:tc>
        <w:tc>
          <w:tcPr>
            <w:tcW w:type="dxa" w:w="3628"/>
            <w:vAlign w:val="center"/>
          </w:tcPr>
          <w:p>
            <w:pPr>
              <w:spacing w:after="0" w:before="0"/>
            </w:pPr>
            <w:r/>
            <w:r>
              <w:rPr>
                <w:b w:val="0"/>
                <w:sz w:val="14"/>
              </w:rPr>
              <w:t>Equation, axiom, proof sketch, protocol or test plan.</w:t>
            </w:r>
          </w:p>
        </w:tc>
        <w:tc>
          <w:tcPr>
            <w:tcW w:type="dxa" w:w="3969"/>
            <w:vAlign w:val="center"/>
          </w:tcPr>
          <w:p>
            <w:pPr>
              <w:spacing w:after="0" w:before="0"/>
            </w:pPr>
            <w:r/>
            <w:r>
              <w:rPr>
                <w:b w:val="0"/>
                <w:sz w:val="14"/>
              </w:rPr>
              <w:t>Mathematical/methodological object; empirical status remains separate.</w:t>
            </w:r>
          </w:p>
        </w:tc>
      </w:tr>
      <w:tr>
        <w:trPr>
          <w:cantSplit/>
        </w:trPr>
        <w:tc>
          <w:tcPr>
            <w:tcW w:type="dxa" w:w="1871"/>
            <w:vAlign w:val="center"/>
          </w:tcPr>
          <w:p>
            <w:pPr>
              <w:spacing w:after="0" w:before="0"/>
            </w:pPr>
            <w:r/>
            <w:r>
              <w:rPr>
                <w:b w:val="0"/>
                <w:sz w:val="14"/>
              </w:rPr>
              <w:t>NON_MESURÉ</w:t>
            </w:r>
          </w:p>
        </w:tc>
        <w:tc>
          <w:tcPr>
            <w:tcW w:type="dxa" w:w="3628"/>
            <w:vAlign w:val="center"/>
          </w:tcPr>
          <w:p>
            <w:pPr>
              <w:spacing w:after="0" w:before="0"/>
            </w:pPr>
            <w:r/>
            <w:r>
              <w:rPr>
                <w:b w:val="0"/>
                <w:sz w:val="14"/>
              </w:rPr>
              <w:t>Required evidence inaccessible, ambiguous or not executed.</w:t>
            </w:r>
          </w:p>
        </w:tc>
        <w:tc>
          <w:tcPr>
            <w:tcW w:type="dxa" w:w="3969"/>
            <w:vAlign w:val="center"/>
          </w:tcPr>
          <w:p>
            <w:pPr>
              <w:spacing w:after="0" w:before="0"/>
            </w:pPr>
            <w:r/>
            <w:r>
              <w:rPr>
                <w:b w:val="0"/>
                <w:sz w:val="14"/>
              </w:rPr>
              <w:t>No validation/promotion allowed from absence of measurement.</w:t>
            </w:r>
          </w:p>
        </w:tc>
      </w:tr>
    </w:tbl>
    <w:p>
      <w:pPr>
        <w:pStyle w:val="Heading2"/>
        <w:keepNext/>
        <w:keepLines/>
      </w:pPr>
      <w:r>
        <w:t>36.2 Master empirical-validation ledger</w:t>
      </w:r>
    </w:p>
    <w:tbl>
      <w:tblPr>
        <w:tblStyle w:val="TableGrid"/>
        <w:tblW w:type="auto" w:w="0"/>
        <w:jc w:val="center"/>
        <w:tblLayout w:type="autofit"/>
        <w:tblLook w:firstColumn="1" w:firstRow="1" w:lastColumn="0" w:lastRow="0" w:noHBand="0" w:noVBand="1" w:val="04A0"/>
      </w:tblPr>
      <w:tblGrid>
        <w:gridCol w:w="1950"/>
        <w:gridCol w:w="1950"/>
        <w:gridCol w:w="1950"/>
        <w:gridCol w:w="1950"/>
        <w:gridCol w:w="1950"/>
      </w:tblGrid>
      <w:tr>
        <w:trPr>
          <w:tblHeader w:val="true"/>
        </w:trPr>
        <w:tc>
          <w:tcPr>
            <w:tcW w:type="dxa" w:w="1701"/>
            <w:vAlign w:val="center"/>
            <w:shd w:fill="D9EAF7"/>
          </w:tcPr>
          <w:p>
            <w:pPr>
              <w:spacing w:after="0" w:before="0"/>
            </w:pPr>
            <w:r/>
            <w:r>
              <w:rPr>
                <w:b/>
                <w:sz w:val="13"/>
              </w:rPr>
              <w:t>Programme</w:t>
            </w:r>
          </w:p>
        </w:tc>
        <w:tc>
          <w:tcPr>
            <w:tcW w:type="dxa" w:w="2835"/>
            <w:vAlign w:val="center"/>
            <w:shd w:fill="D9EAF7"/>
          </w:tcPr>
          <w:p>
            <w:pPr>
              <w:spacing w:after="0" w:before="0"/>
            </w:pPr>
            <w:r/>
            <w:r>
              <w:rPr>
                <w:b/>
                <w:sz w:val="13"/>
              </w:rPr>
              <w:t>Evidence object</w:t>
            </w:r>
          </w:p>
        </w:tc>
        <w:tc>
          <w:tcPr>
            <w:tcW w:type="dxa" w:w="1928"/>
            <w:vAlign w:val="center"/>
            <w:shd w:fill="D9EAF7"/>
          </w:tcPr>
          <w:p>
            <w:pPr>
              <w:spacing w:after="0" w:before="0"/>
            </w:pPr>
            <w:r/>
            <w:r>
              <w:rPr>
                <w:b/>
                <w:sz w:val="13"/>
              </w:rPr>
              <w:t>Category</w:t>
            </w:r>
          </w:p>
        </w:tc>
        <w:tc>
          <w:tcPr>
            <w:tcW w:type="dxa" w:w="3288"/>
            <w:vAlign w:val="center"/>
            <w:shd w:fill="D9EAF7"/>
          </w:tcPr>
          <w:p>
            <w:pPr>
              <w:spacing w:after="0" w:before="0"/>
            </w:pPr>
            <w:r/>
            <w:r>
              <w:rPr>
                <w:b/>
                <w:sz w:val="13"/>
              </w:rPr>
              <w:t>Interpretation</w:t>
            </w:r>
          </w:p>
        </w:tc>
        <w:tc>
          <w:tcPr>
            <w:tcW w:type="dxa" w:w="1928"/>
            <w:vAlign w:val="center"/>
            <w:shd w:fill="D9EAF7"/>
          </w:tcPr>
          <w:p>
            <w:pPr>
              <w:spacing w:after="0" w:before="0"/>
            </w:pPr>
            <w:r/>
            <w:r>
              <w:rPr>
                <w:b/>
                <w:sz w:val="13"/>
              </w:rPr>
              <w:t>Pass-6 status</w:t>
            </w:r>
          </w:p>
        </w:tc>
      </w:tr>
      <w:tr>
        <w:trPr>
          <w:cantSplit/>
        </w:trPr>
        <w:tc>
          <w:tcPr>
            <w:tcW w:type="dxa" w:w="1701"/>
            <w:vAlign w:val="center"/>
          </w:tcPr>
          <w:p>
            <w:pPr>
              <w:spacing w:after="0" w:before="0"/>
            </w:pPr>
            <w:r/>
            <w:r>
              <w:rPr>
                <w:b w:val="0"/>
                <w:sz w:val="13"/>
              </w:rPr>
              <w:t>Glauber 1963</w:t>
            </w:r>
          </w:p>
        </w:tc>
        <w:tc>
          <w:tcPr>
            <w:tcW w:type="dxa" w:w="2835"/>
            <w:vAlign w:val="center"/>
          </w:tcPr>
          <w:p>
            <w:pPr>
              <w:spacing w:after="0" w:before="0"/>
            </w:pPr>
            <w:r/>
            <w:r>
              <w:rPr>
                <w:b w:val="0"/>
                <w:sz w:val="13"/>
              </w:rPr>
              <w:t>Correlation hierarchy / quantum-optical coherence</w:t>
            </w:r>
          </w:p>
        </w:tc>
        <w:tc>
          <w:tcPr>
            <w:tcW w:type="dxa" w:w="1928"/>
            <w:vAlign w:val="center"/>
          </w:tcPr>
          <w:p>
            <w:pPr>
              <w:spacing w:after="0" w:before="0"/>
            </w:pPr>
            <w:r/>
            <w:r>
              <w:rPr>
                <w:b w:val="0"/>
                <w:sz w:val="13"/>
              </w:rPr>
              <w:t>FORMAL + peer-reviewed domain science</w:t>
            </w:r>
          </w:p>
        </w:tc>
        <w:tc>
          <w:tcPr>
            <w:tcW w:type="dxa" w:w="3288"/>
            <w:vAlign w:val="center"/>
          </w:tcPr>
          <w:p>
            <w:pPr>
              <w:spacing w:after="0" w:before="0"/>
            </w:pPr>
            <w:r/>
            <w:r>
              <w:rPr>
                <w:b w:val="0"/>
                <w:sz w:val="13"/>
              </w:rPr>
              <w:t>Historical formal anchor; no Pass-6 rerun</w:t>
            </w:r>
          </w:p>
        </w:tc>
        <w:tc>
          <w:tcPr>
            <w:tcW w:type="dxa" w:w="1928"/>
            <w:vAlign w:val="center"/>
          </w:tcPr>
          <w:p>
            <w:pPr>
              <w:spacing w:after="0" w:before="0"/>
            </w:pPr>
            <w:r/>
            <w:r>
              <w:rPr>
                <w:b w:val="0"/>
                <w:sz w:val="13"/>
              </w:rPr>
              <w:t>VERIFIED SOURCE</w:t>
            </w:r>
          </w:p>
        </w:tc>
      </w:tr>
      <w:tr>
        <w:trPr>
          <w:cantSplit/>
        </w:trPr>
        <w:tc>
          <w:tcPr>
            <w:tcW w:type="dxa" w:w="1701"/>
            <w:vAlign w:val="center"/>
          </w:tcPr>
          <w:p>
            <w:pPr>
              <w:spacing w:after="0" w:before="0"/>
            </w:pPr>
            <w:r/>
            <w:r>
              <w:rPr>
                <w:b w:val="0"/>
                <w:sz w:val="13"/>
              </w:rPr>
              <w:t>Baumgratz et al. 2014</w:t>
            </w:r>
          </w:p>
        </w:tc>
        <w:tc>
          <w:tcPr>
            <w:tcW w:type="dxa" w:w="2835"/>
            <w:vAlign w:val="center"/>
          </w:tcPr>
          <w:p>
            <w:pPr>
              <w:spacing w:after="0" w:before="0"/>
            </w:pPr>
            <w:r/>
            <w:r>
              <w:rPr>
                <w:b w:val="0"/>
                <w:sz w:val="13"/>
              </w:rPr>
              <w:t>Quantum coherence monotones</w:t>
            </w:r>
          </w:p>
        </w:tc>
        <w:tc>
          <w:tcPr>
            <w:tcW w:type="dxa" w:w="1928"/>
            <w:vAlign w:val="center"/>
          </w:tcPr>
          <w:p>
            <w:pPr>
              <w:spacing w:after="0" w:before="0"/>
            </w:pPr>
            <w:r/>
            <w:r>
              <w:rPr>
                <w:b w:val="0"/>
                <w:sz w:val="13"/>
              </w:rPr>
              <w:t>FORMAL</w:t>
            </w:r>
          </w:p>
        </w:tc>
        <w:tc>
          <w:tcPr>
            <w:tcW w:type="dxa" w:w="3288"/>
            <w:vAlign w:val="center"/>
          </w:tcPr>
          <w:p>
            <w:pPr>
              <w:spacing w:after="0" w:before="0"/>
            </w:pPr>
            <w:r/>
            <w:r>
              <w:rPr>
                <w:b w:val="0"/>
                <w:sz w:val="13"/>
              </w:rPr>
              <w:t>Peer-reviewed mathematical resource theory</w:t>
            </w:r>
          </w:p>
        </w:tc>
        <w:tc>
          <w:tcPr>
            <w:tcW w:type="dxa" w:w="1928"/>
            <w:vAlign w:val="center"/>
          </w:tcPr>
          <w:p>
            <w:pPr>
              <w:spacing w:after="0" w:before="0"/>
            </w:pPr>
            <w:r/>
            <w:r>
              <w:rPr>
                <w:b w:val="0"/>
                <w:sz w:val="13"/>
              </w:rPr>
              <w:t>VERIFIED SOURCE</w:t>
            </w:r>
          </w:p>
        </w:tc>
      </w:tr>
      <w:tr>
        <w:trPr>
          <w:cantSplit/>
        </w:trPr>
        <w:tc>
          <w:tcPr>
            <w:tcW w:type="dxa" w:w="1701"/>
            <w:vAlign w:val="center"/>
          </w:tcPr>
          <w:p>
            <w:pPr>
              <w:spacing w:after="0" w:before="0"/>
            </w:pPr>
            <w:r/>
            <w:r>
              <w:rPr>
                <w:b w:val="0"/>
                <w:sz w:val="13"/>
              </w:rPr>
              <w:t>Hu &amp; Fan 2016</w:t>
            </w:r>
          </w:p>
        </w:tc>
        <w:tc>
          <w:tcPr>
            <w:tcW w:type="dxa" w:w="2835"/>
            <w:vAlign w:val="center"/>
          </w:tcPr>
          <w:p>
            <w:pPr>
              <w:spacing w:after="0" w:before="0"/>
            </w:pPr>
            <w:r/>
            <w:r>
              <w:rPr>
                <w:b w:val="0"/>
                <w:sz w:val="13"/>
              </w:rPr>
              <w:t>Evolution/factorization of quantum coherence</w:t>
            </w:r>
          </w:p>
        </w:tc>
        <w:tc>
          <w:tcPr>
            <w:tcW w:type="dxa" w:w="1928"/>
            <w:vAlign w:val="center"/>
          </w:tcPr>
          <w:p>
            <w:pPr>
              <w:spacing w:after="0" w:before="0"/>
            </w:pPr>
            <w:r/>
            <w:r>
              <w:rPr>
                <w:b w:val="0"/>
                <w:sz w:val="13"/>
              </w:rPr>
              <w:t>FORMAL</w:t>
            </w:r>
          </w:p>
        </w:tc>
        <w:tc>
          <w:tcPr>
            <w:tcW w:type="dxa" w:w="3288"/>
            <w:vAlign w:val="center"/>
          </w:tcPr>
          <w:p>
            <w:pPr>
              <w:spacing w:after="0" w:before="0"/>
            </w:pPr>
            <w:r/>
            <w:r>
              <w:rPr>
                <w:b w:val="0"/>
                <w:sz w:val="13"/>
              </w:rPr>
              <w:t>Domain-specific quantum channels; no new replication count</w:t>
            </w:r>
          </w:p>
        </w:tc>
        <w:tc>
          <w:tcPr>
            <w:tcW w:type="dxa" w:w="1928"/>
            <w:vAlign w:val="center"/>
          </w:tcPr>
          <w:p>
            <w:pPr>
              <w:spacing w:after="0" w:before="0"/>
            </w:pPr>
            <w:r/>
            <w:r>
              <w:rPr>
                <w:b w:val="0"/>
                <w:sz w:val="13"/>
              </w:rPr>
              <w:t>VERIFIED SOURCE</w:t>
            </w:r>
          </w:p>
        </w:tc>
      </w:tr>
      <w:tr>
        <w:trPr>
          <w:cantSplit/>
        </w:trPr>
        <w:tc>
          <w:tcPr>
            <w:tcW w:type="dxa" w:w="1701"/>
            <w:vAlign w:val="center"/>
          </w:tcPr>
          <w:p>
            <w:pPr>
              <w:spacing w:after="0" w:before="0"/>
            </w:pPr>
            <w:r/>
            <w:r>
              <w:rPr>
                <w:b w:val="0"/>
                <w:sz w:val="13"/>
              </w:rPr>
              <w:t>Martirosyan et al. 2024/2025</w:t>
            </w:r>
          </w:p>
        </w:tc>
        <w:tc>
          <w:tcPr>
            <w:tcW w:type="dxa" w:w="2835"/>
            <w:vAlign w:val="center"/>
          </w:tcPr>
          <w:p>
            <w:pPr>
              <w:spacing w:after="0" w:before="0"/>
            </w:pPr>
            <w:r/>
            <w:r>
              <w:rPr>
                <w:b w:val="0"/>
                <w:sz w:val="13"/>
              </w:rPr>
              <w:t>Coherence spreading D=dℓ²/dt → 3.4(3) ħ/m</w:t>
            </w:r>
          </w:p>
        </w:tc>
        <w:tc>
          <w:tcPr>
            <w:tcW w:type="dxa" w:w="1928"/>
            <w:vAlign w:val="center"/>
          </w:tcPr>
          <w:p>
            <w:pPr>
              <w:spacing w:after="0" w:before="0"/>
            </w:pPr>
            <w:r/>
            <w:r>
              <w:rPr>
                <w:b w:val="0"/>
                <w:sz w:val="13"/>
              </w:rPr>
              <w:t>PHYSICAL EXPERIMENT</w:t>
            </w:r>
          </w:p>
        </w:tc>
        <w:tc>
          <w:tcPr>
            <w:tcW w:type="dxa" w:w="3288"/>
            <w:vAlign w:val="center"/>
          </w:tcPr>
          <w:p>
            <w:pPr>
              <w:spacing w:after="0" w:before="0"/>
            </w:pPr>
            <w:r/>
            <w:r>
              <w:rPr>
                <w:b w:val="0"/>
                <w:sz w:val="13"/>
              </w:rPr>
              <w:t>Experimental physical kinematics in stated Bose-gas class</w:t>
            </w:r>
          </w:p>
        </w:tc>
        <w:tc>
          <w:tcPr>
            <w:tcW w:type="dxa" w:w="1928"/>
            <w:vAlign w:val="center"/>
          </w:tcPr>
          <w:p>
            <w:pPr>
              <w:spacing w:after="0" w:before="0"/>
            </w:pPr>
            <w:r/>
            <w:r>
              <w:rPr>
                <w:b w:val="0"/>
                <w:sz w:val="13"/>
              </w:rPr>
              <w:t>VERIFIED SOURCE; NOT RERUN</w:t>
            </w:r>
          </w:p>
        </w:tc>
      </w:tr>
      <w:tr>
        <w:trPr>
          <w:cantSplit/>
        </w:trPr>
        <w:tc>
          <w:tcPr>
            <w:tcW w:type="dxa" w:w="1701"/>
            <w:vAlign w:val="center"/>
          </w:tcPr>
          <w:p>
            <w:pPr>
              <w:spacing w:after="0" w:before="0"/>
            </w:pPr>
            <w:r/>
            <w:r>
              <w:rPr>
                <w:b w:val="0"/>
                <w:sz w:val="13"/>
              </w:rPr>
              <w:t>UCP 5 Jun 2025</w:t>
            </w:r>
          </w:p>
        </w:tc>
        <w:tc>
          <w:tcPr>
            <w:tcW w:type="dxa" w:w="2835"/>
            <w:vAlign w:val="center"/>
          </w:tcPr>
          <w:p>
            <w:pPr>
              <w:spacing w:after="0" w:before="0"/>
            </w:pPr>
            <w:r/>
            <w:r>
              <w:rPr>
                <w:b w:val="0"/>
                <w:sz w:val="13"/>
              </w:rPr>
              <w:t>Five AI systems; reported transformation/improvement metrics</w:t>
            </w:r>
          </w:p>
        </w:tc>
        <w:tc>
          <w:tcPr>
            <w:tcW w:type="dxa" w:w="1928"/>
            <w:vAlign w:val="center"/>
          </w:tcPr>
          <w:p>
            <w:pPr>
              <w:spacing w:after="0" w:before="0"/>
            </w:pPr>
            <w:r/>
            <w:r>
              <w:rPr>
                <w:b w:val="0"/>
                <w:sz w:val="13"/>
              </w:rPr>
              <w:t>MODEL EVALUATION</w:t>
            </w:r>
          </w:p>
        </w:tc>
        <w:tc>
          <w:tcPr>
            <w:tcW w:type="dxa" w:w="3288"/>
            <w:vAlign w:val="center"/>
          </w:tcPr>
          <w:p>
            <w:pPr>
              <w:spacing w:after="0" w:before="0"/>
            </w:pPr>
            <w:r/>
            <w:r>
              <w:rPr>
                <w:b w:val="0"/>
                <w:sz w:val="13"/>
              </w:rPr>
              <w:t>Author-reported; not independent replications</w:t>
            </w:r>
          </w:p>
        </w:tc>
        <w:tc>
          <w:tcPr>
            <w:tcW w:type="dxa" w:w="1928"/>
            <w:vAlign w:val="center"/>
          </w:tcPr>
          <w:p>
            <w:pPr>
              <w:spacing w:after="0" w:before="0"/>
            </w:pPr>
            <w:r/>
            <w:r>
              <w:rPr>
                <w:b w:val="0"/>
                <w:sz w:val="13"/>
              </w:rPr>
              <w:t>NOT INDEPENDENTLY REPRODUCED</w:t>
            </w:r>
          </w:p>
        </w:tc>
      </w:tr>
      <w:tr>
        <w:trPr>
          <w:cantSplit/>
        </w:trPr>
        <w:tc>
          <w:tcPr>
            <w:tcW w:type="dxa" w:w="1701"/>
            <w:vAlign w:val="center"/>
          </w:tcPr>
          <w:p>
            <w:pPr>
              <w:spacing w:after="0" w:before="0"/>
            </w:pPr>
            <w:r/>
            <w:r>
              <w:rPr>
                <w:b w:val="0"/>
                <w:sz w:val="13"/>
              </w:rPr>
              <w:t>Hensgen Δ.72</w:t>
            </w:r>
          </w:p>
        </w:tc>
        <w:tc>
          <w:tcPr>
            <w:tcW w:type="dxa" w:w="2835"/>
            <w:vAlign w:val="center"/>
          </w:tcPr>
          <w:p>
            <w:pPr>
              <w:spacing w:after="0" w:before="0"/>
            </w:pPr>
            <w:r/>
            <w:r>
              <w:rPr>
                <w:b w:val="0"/>
                <w:sz w:val="13"/>
              </w:rPr>
              <w:t>Wearable exam-stress dataset; later open datasets</w:t>
            </w:r>
          </w:p>
        </w:tc>
        <w:tc>
          <w:tcPr>
            <w:tcW w:type="dxa" w:w="1928"/>
            <w:vAlign w:val="center"/>
          </w:tcPr>
          <w:p>
            <w:pPr>
              <w:spacing w:after="0" w:before="0"/>
            </w:pPr>
            <w:r/>
            <w:r>
              <w:rPr>
                <w:b w:val="0"/>
                <w:sz w:val="13"/>
              </w:rPr>
              <w:t>DATASET OBSERVATION</w:t>
            </w:r>
          </w:p>
        </w:tc>
        <w:tc>
          <w:tcPr>
            <w:tcW w:type="dxa" w:w="3288"/>
            <w:vAlign w:val="center"/>
          </w:tcPr>
          <w:p>
            <w:pPr>
              <w:spacing w:after="0" w:before="0"/>
            </w:pPr>
            <w:r/>
            <w:r>
              <w:rPr>
                <w:b w:val="0"/>
                <w:sz w:val="13"/>
              </w:rPr>
              <w:t>Empirical modelling on named wearable data</w:t>
            </w:r>
          </w:p>
        </w:tc>
        <w:tc>
          <w:tcPr>
            <w:tcW w:type="dxa" w:w="1928"/>
            <w:vAlign w:val="center"/>
          </w:tcPr>
          <w:p>
            <w:pPr>
              <w:spacing w:after="0" w:before="0"/>
            </w:pPr>
            <w:r/>
            <w:r>
              <w:rPr>
                <w:b w:val="0"/>
                <w:sz w:val="13"/>
              </w:rPr>
              <w:t>SOURCE-LEVEL ONLY</w:t>
            </w:r>
          </w:p>
        </w:tc>
      </w:tr>
      <w:tr>
        <w:trPr>
          <w:cantSplit/>
        </w:trPr>
        <w:tc>
          <w:tcPr>
            <w:tcW w:type="dxa" w:w="1701"/>
            <w:vAlign w:val="center"/>
          </w:tcPr>
          <w:p>
            <w:pPr>
              <w:spacing w:after="0" w:before="0"/>
            </w:pPr>
            <w:r/>
            <w:r>
              <w:rPr>
                <w:b w:val="0"/>
                <w:sz w:val="13"/>
              </w:rPr>
              <w:t>Bostick PAS</w:t>
            </w:r>
          </w:p>
        </w:tc>
        <w:tc>
          <w:tcPr>
            <w:tcW w:type="dxa" w:w="2835"/>
            <w:vAlign w:val="center"/>
          </w:tcPr>
          <w:p>
            <w:pPr>
              <w:spacing w:after="0" w:before="0"/>
            </w:pPr>
            <w:r/>
            <w:r>
              <w:rPr>
                <w:b w:val="0"/>
                <w:sz w:val="13"/>
              </w:rPr>
              <w:t>Harmonic threshold/drift programme</w:t>
            </w:r>
          </w:p>
        </w:tc>
        <w:tc>
          <w:tcPr>
            <w:tcW w:type="dxa" w:w="1928"/>
            <w:vAlign w:val="center"/>
          </w:tcPr>
          <w:p>
            <w:pPr>
              <w:spacing w:after="0" w:before="0"/>
            </w:pPr>
            <w:r/>
            <w:r>
              <w:rPr>
                <w:b w:val="0"/>
                <w:sz w:val="13"/>
              </w:rPr>
              <w:t>FORMAL / MODEL</w:t>
            </w:r>
          </w:p>
        </w:tc>
        <w:tc>
          <w:tcPr>
            <w:tcW w:type="dxa" w:w="3288"/>
            <w:vAlign w:val="center"/>
          </w:tcPr>
          <w:p>
            <w:pPr>
              <w:spacing w:after="0" w:before="0"/>
            </w:pPr>
            <w:r/>
            <w:r>
              <w:rPr>
                <w:b w:val="0"/>
                <w:sz w:val="13"/>
              </w:rPr>
              <w:t>No independent replication count established here</w:t>
            </w:r>
          </w:p>
        </w:tc>
        <w:tc>
          <w:tcPr>
            <w:tcW w:type="dxa" w:w="1928"/>
            <w:vAlign w:val="center"/>
          </w:tcPr>
          <w:p>
            <w:pPr>
              <w:spacing w:after="0" w:before="0"/>
            </w:pPr>
            <w:r/>
            <w:r>
              <w:rPr>
                <w:b w:val="0"/>
                <w:sz w:val="13"/>
              </w:rPr>
              <w:t>NON_MESURÉ EMPIRICALLY</w:t>
            </w:r>
          </w:p>
        </w:tc>
      </w:tr>
      <w:tr>
        <w:trPr>
          <w:cantSplit/>
        </w:trPr>
        <w:tc>
          <w:tcPr>
            <w:tcW w:type="dxa" w:w="1701"/>
            <w:vAlign w:val="center"/>
          </w:tcPr>
          <w:p>
            <w:pPr>
              <w:spacing w:after="0" w:before="0"/>
            </w:pPr>
            <w:r/>
            <w:r>
              <w:rPr>
                <w:b w:val="0"/>
                <w:sz w:val="13"/>
              </w:rPr>
              <w:t>Zoran PITON+</w:t>
            </w:r>
          </w:p>
        </w:tc>
        <w:tc>
          <w:tcPr>
            <w:tcW w:type="dxa" w:w="2835"/>
            <w:vAlign w:val="center"/>
          </w:tcPr>
          <w:p>
            <w:pPr>
              <w:spacing w:after="0" w:before="0"/>
            </w:pPr>
            <w:r/>
            <w:r>
              <w:rPr>
                <w:b w:val="0"/>
                <w:sz w:val="13"/>
              </w:rPr>
              <w:t>Default 100,000 synthetic vectors; micro-law extraction</w:t>
            </w:r>
          </w:p>
        </w:tc>
        <w:tc>
          <w:tcPr>
            <w:tcW w:type="dxa" w:w="1928"/>
            <w:vAlign w:val="center"/>
          </w:tcPr>
          <w:p>
            <w:pPr>
              <w:spacing w:after="0" w:before="0"/>
            </w:pPr>
            <w:r/>
            <w:r>
              <w:rPr>
                <w:b w:val="0"/>
                <w:sz w:val="13"/>
              </w:rPr>
              <w:t>SIMULATION VECTOR</w:t>
            </w:r>
          </w:p>
        </w:tc>
        <w:tc>
          <w:tcPr>
            <w:tcW w:type="dxa" w:w="3288"/>
            <w:vAlign w:val="center"/>
          </w:tcPr>
          <w:p>
            <w:pPr>
              <w:spacing w:after="0" w:before="0"/>
            </w:pPr>
            <w:r/>
            <w:r>
              <w:rPr>
                <w:b w:val="0"/>
                <w:sz w:val="13"/>
              </w:rPr>
              <w:t>Public algorithm independently reproduced in Pass 6</w:t>
            </w:r>
          </w:p>
        </w:tc>
        <w:tc>
          <w:tcPr>
            <w:tcW w:type="dxa" w:w="1928"/>
            <w:vAlign w:val="center"/>
          </w:tcPr>
          <w:p>
            <w:pPr>
              <w:spacing w:after="0" w:before="0"/>
            </w:pPr>
            <w:r/>
            <w:r>
              <w:rPr>
                <w:b w:val="0"/>
                <w:sz w:val="13"/>
              </w:rPr>
              <w:t>REPRODUCED SIMULATION</w:t>
            </w:r>
          </w:p>
        </w:tc>
      </w:tr>
      <w:tr>
        <w:trPr>
          <w:cantSplit/>
        </w:trPr>
        <w:tc>
          <w:tcPr>
            <w:tcW w:type="dxa" w:w="1701"/>
            <w:vAlign w:val="center"/>
          </w:tcPr>
          <w:p>
            <w:pPr>
              <w:spacing w:after="0" w:before="0"/>
            </w:pPr>
            <w:r/>
            <w:r>
              <w:rPr>
                <w:b w:val="0"/>
                <w:sz w:val="13"/>
              </w:rPr>
              <w:t>ZBench Ω9</w:t>
            </w:r>
          </w:p>
        </w:tc>
        <w:tc>
          <w:tcPr>
            <w:tcW w:type="dxa" w:w="2835"/>
            <w:vAlign w:val="center"/>
          </w:tcPr>
          <w:p>
            <w:pPr>
              <w:spacing w:after="0" w:before="0"/>
            </w:pPr>
            <w:r/>
            <w:r>
              <w:rPr>
                <w:b w:val="0"/>
                <w:sz w:val="13"/>
              </w:rPr>
              <w:t>11 AI systems × 7 mandatory checks + RedTeam</w:t>
            </w:r>
          </w:p>
        </w:tc>
        <w:tc>
          <w:tcPr>
            <w:tcW w:type="dxa" w:w="1928"/>
            <w:vAlign w:val="center"/>
          </w:tcPr>
          <w:p>
            <w:pPr>
              <w:spacing w:after="0" w:before="0"/>
            </w:pPr>
            <w:r/>
            <w:r>
              <w:rPr>
                <w:b w:val="0"/>
                <w:sz w:val="13"/>
              </w:rPr>
              <w:t>MODEL EVALUATION + RED-TEAM</w:t>
            </w:r>
          </w:p>
        </w:tc>
        <w:tc>
          <w:tcPr>
            <w:tcW w:type="dxa" w:w="3288"/>
            <w:vAlign w:val="center"/>
          </w:tcPr>
          <w:p>
            <w:pPr>
              <w:spacing w:after="0" w:before="0"/>
            </w:pPr>
            <w:r/>
            <w:r>
              <w:rPr>
                <w:b w:val="0"/>
                <w:sz w:val="13"/>
              </w:rPr>
              <w:t>Cross-model benchmark surface; not 77 independent falsifications</w:t>
            </w:r>
          </w:p>
        </w:tc>
        <w:tc>
          <w:tcPr>
            <w:tcW w:type="dxa" w:w="1928"/>
            <w:vAlign w:val="center"/>
          </w:tcPr>
          <w:p>
            <w:pPr>
              <w:spacing w:after="0" w:before="0"/>
            </w:pPr>
            <w:r/>
            <w:r>
              <w:rPr>
                <w:b w:val="0"/>
                <w:sz w:val="13"/>
              </w:rPr>
              <w:t>ARCHIVED PROTOCOL; NOT RERUN</w:t>
            </w:r>
          </w:p>
        </w:tc>
      </w:tr>
      <w:tr>
        <w:trPr>
          <w:cantSplit/>
        </w:trPr>
        <w:tc>
          <w:tcPr>
            <w:tcW w:type="dxa" w:w="1701"/>
            <w:vAlign w:val="center"/>
          </w:tcPr>
          <w:p>
            <w:pPr>
              <w:spacing w:after="0" w:before="0"/>
            </w:pPr>
            <w:r/>
            <w:r>
              <w:rPr>
                <w:b w:val="0"/>
                <w:sz w:val="13"/>
              </w:rPr>
              <w:t>Zoran Ω∞ DOI 17804030</w:t>
            </w:r>
          </w:p>
        </w:tc>
        <w:tc>
          <w:tcPr>
            <w:tcW w:type="dxa" w:w="2835"/>
            <w:vAlign w:val="center"/>
          </w:tcPr>
          <w:p>
            <w:pPr>
              <w:spacing w:after="0" w:before="0"/>
            </w:pPr>
            <w:r/>
            <w:r>
              <w:rPr>
                <w:b w:val="0"/>
                <w:sz w:val="13"/>
              </w:rPr>
              <w:t>Mertens block check + 50-target Goldbach probe in visible main</w:t>
            </w:r>
          </w:p>
        </w:tc>
        <w:tc>
          <w:tcPr>
            <w:tcW w:type="dxa" w:w="1928"/>
            <w:vAlign w:val="center"/>
          </w:tcPr>
          <w:p>
            <w:pPr>
              <w:spacing w:after="0" w:before="0"/>
            </w:pPr>
            <w:r/>
            <w:r>
              <w:rPr>
                <w:b w:val="0"/>
                <w:sz w:val="13"/>
              </w:rPr>
              <w:t>FALSIFICATION ATTEMPT / PROTOTYPE</w:t>
            </w:r>
          </w:p>
        </w:tc>
        <w:tc>
          <w:tcPr>
            <w:tcW w:type="dxa" w:w="3288"/>
            <w:vAlign w:val="center"/>
          </w:tcPr>
          <w:p>
            <w:pPr>
              <w:spacing w:after="0" w:before="0"/>
            </w:pPr>
            <w:r/>
            <w:r>
              <w:rPr>
                <w:b w:val="0"/>
                <w:sz w:val="13"/>
              </w:rPr>
              <w:t>Executable-paper concept; broad distributed claims exceed visible main path</w:t>
            </w:r>
          </w:p>
        </w:tc>
        <w:tc>
          <w:tcPr>
            <w:tcW w:type="dxa" w:w="1928"/>
            <w:vAlign w:val="center"/>
          </w:tcPr>
          <w:p>
            <w:pPr>
              <w:spacing w:after="0" w:before="0"/>
            </w:pPr>
            <w:r/>
            <w:r>
              <w:rPr>
                <w:b w:val="0"/>
                <w:sz w:val="13"/>
              </w:rPr>
              <w:t>STATIC CODE AUDIT</w:t>
            </w:r>
          </w:p>
        </w:tc>
      </w:tr>
      <w:tr>
        <w:trPr>
          <w:cantSplit/>
        </w:trPr>
        <w:tc>
          <w:tcPr>
            <w:tcW w:type="dxa" w:w="1701"/>
            <w:vAlign w:val="center"/>
          </w:tcPr>
          <w:p>
            <w:pPr>
              <w:spacing w:after="0" w:before="0"/>
            </w:pPr>
            <w:r/>
            <w:r>
              <w:rPr>
                <w:b w:val="0"/>
                <w:sz w:val="13"/>
              </w:rPr>
              <w:t>Zoran DOI 18497598</w:t>
            </w:r>
          </w:p>
        </w:tc>
        <w:tc>
          <w:tcPr>
            <w:tcW w:type="dxa" w:w="2835"/>
            <w:vAlign w:val="center"/>
          </w:tcPr>
          <w:p>
            <w:pPr>
              <w:spacing w:after="0" w:before="0"/>
            </w:pPr>
            <w:r/>
            <w:r>
              <w:rPr>
                <w:b w:val="0"/>
                <w:sz w:val="13"/>
              </w:rPr>
              <w:t>Six-criterion LLM falsification methodology; conceptual engines</w:t>
            </w:r>
          </w:p>
        </w:tc>
        <w:tc>
          <w:tcPr>
            <w:tcW w:type="dxa" w:w="1928"/>
            <w:vAlign w:val="center"/>
          </w:tcPr>
          <w:p>
            <w:pPr>
              <w:spacing w:after="0" w:before="0"/>
            </w:pPr>
            <w:r/>
            <w:r>
              <w:rPr>
                <w:b w:val="0"/>
                <w:sz w:val="13"/>
              </w:rPr>
              <w:t>FORMAL / FALSIFICATION METHOD</w:t>
            </w:r>
          </w:p>
        </w:tc>
        <w:tc>
          <w:tcPr>
            <w:tcW w:type="dxa" w:w="3288"/>
            <w:vAlign w:val="center"/>
          </w:tcPr>
          <w:p>
            <w:pPr>
              <w:spacing w:after="0" w:before="0"/>
            </w:pPr>
            <w:r/>
            <w:r>
              <w:rPr>
                <w:b w:val="0"/>
                <w:sz w:val="13"/>
              </w:rPr>
              <w:t>Methodology and simulated/conceptual engines</w:t>
            </w:r>
          </w:p>
        </w:tc>
        <w:tc>
          <w:tcPr>
            <w:tcW w:type="dxa" w:w="1928"/>
            <w:vAlign w:val="center"/>
          </w:tcPr>
          <w:p>
            <w:pPr>
              <w:spacing w:after="0" w:before="0"/>
            </w:pPr>
            <w:r/>
            <w:r>
              <w:rPr>
                <w:b w:val="0"/>
                <w:sz w:val="13"/>
              </w:rPr>
              <w:t>VERIFIED DOCUMENT; NO MASS COUNT</w:t>
            </w:r>
          </w:p>
        </w:tc>
      </w:tr>
      <w:tr>
        <w:trPr>
          <w:cantSplit/>
        </w:trPr>
        <w:tc>
          <w:tcPr>
            <w:tcW w:type="dxa" w:w="1701"/>
            <w:vAlign w:val="center"/>
          </w:tcPr>
          <w:p>
            <w:pPr>
              <w:spacing w:after="0" w:before="0"/>
            </w:pPr>
            <w:r/>
            <w:r>
              <w:rPr>
                <w:b w:val="0"/>
                <w:sz w:val="13"/>
              </w:rPr>
              <w:t>Zoran DOI 18499943</w:t>
            </w:r>
          </w:p>
        </w:tc>
        <w:tc>
          <w:tcPr>
            <w:tcW w:type="dxa" w:w="2835"/>
            <w:vAlign w:val="center"/>
          </w:tcPr>
          <w:p>
            <w:pPr>
              <w:spacing w:after="0" w:before="0"/>
            </w:pPr>
            <w:r/>
            <w:r>
              <w:rPr>
                <w:b w:val="0"/>
                <w:sz w:val="13"/>
              </w:rPr>
              <w:t>AI-science coherence constraint + simple implementation</w:t>
            </w:r>
          </w:p>
        </w:tc>
        <w:tc>
          <w:tcPr>
            <w:tcW w:type="dxa" w:w="1928"/>
            <w:vAlign w:val="center"/>
          </w:tcPr>
          <w:p>
            <w:pPr>
              <w:spacing w:after="0" w:before="0"/>
            </w:pPr>
            <w:r/>
            <w:r>
              <w:rPr>
                <w:b w:val="0"/>
                <w:sz w:val="13"/>
              </w:rPr>
              <w:t>FORMAL / SOFTWARE DOCUMENTATION</w:t>
            </w:r>
          </w:p>
        </w:tc>
        <w:tc>
          <w:tcPr>
            <w:tcW w:type="dxa" w:w="3288"/>
            <w:vAlign w:val="center"/>
          </w:tcPr>
          <w:p>
            <w:pPr>
              <w:spacing w:after="0" w:before="0"/>
            </w:pPr>
            <w:r/>
            <w:r>
              <w:rPr>
                <w:b w:val="0"/>
                <w:sz w:val="13"/>
              </w:rPr>
              <w:t>Refusal/indeterminate output design; no independent benchmark located</w:t>
            </w:r>
          </w:p>
        </w:tc>
        <w:tc>
          <w:tcPr>
            <w:tcW w:type="dxa" w:w="1928"/>
            <w:vAlign w:val="center"/>
          </w:tcPr>
          <w:p>
            <w:pPr>
              <w:spacing w:after="0" w:before="0"/>
            </w:pPr>
            <w:r/>
            <w:r>
              <w:rPr>
                <w:b w:val="0"/>
                <w:sz w:val="13"/>
              </w:rPr>
              <w:t>SOURCE-LEVEL ONLY</w:t>
            </w:r>
          </w:p>
        </w:tc>
      </w:tr>
      <w:tr>
        <w:trPr>
          <w:cantSplit/>
        </w:trPr>
        <w:tc>
          <w:tcPr>
            <w:tcW w:type="dxa" w:w="1701"/>
            <w:vAlign w:val="center"/>
          </w:tcPr>
          <w:p>
            <w:pPr>
              <w:spacing w:after="0" w:before="0"/>
            </w:pPr>
            <w:r/>
            <w:r>
              <w:rPr>
                <w:b w:val="0"/>
                <w:sz w:val="13"/>
              </w:rPr>
              <w:t>Zoran DOI 18500363</w:t>
            </w:r>
          </w:p>
        </w:tc>
        <w:tc>
          <w:tcPr>
            <w:tcW w:type="dxa" w:w="2835"/>
            <w:vAlign w:val="center"/>
          </w:tcPr>
          <w:p>
            <w:pPr>
              <w:spacing w:after="0" w:before="0"/>
            </w:pPr>
            <w:r/>
            <w:r>
              <w:rPr>
                <w:b w:val="0"/>
                <w:sz w:val="13"/>
              </w:rPr>
              <w:t>Output-only axioms + canonical prompt suite</w:t>
            </w:r>
          </w:p>
        </w:tc>
        <w:tc>
          <w:tcPr>
            <w:tcW w:type="dxa" w:w="1928"/>
            <w:vAlign w:val="center"/>
          </w:tcPr>
          <w:p>
            <w:pPr>
              <w:spacing w:after="0" w:before="0"/>
            </w:pPr>
            <w:r/>
            <w:r>
              <w:rPr>
                <w:b w:val="0"/>
                <w:sz w:val="13"/>
              </w:rPr>
              <w:t>FORMAL / RED-TEAM SPECIFICATION</w:t>
            </w:r>
          </w:p>
        </w:tc>
        <w:tc>
          <w:tcPr>
            <w:tcW w:type="dxa" w:w="3288"/>
            <w:vAlign w:val="center"/>
          </w:tcPr>
          <w:p>
            <w:pPr>
              <w:spacing w:after="0" w:before="0"/>
            </w:pPr>
            <w:r/>
            <w:r>
              <w:rPr>
                <w:b w:val="0"/>
                <w:sz w:val="13"/>
              </w:rPr>
              <w:t>Test plan; π and μ not fully operationalized in inspected artefacts</w:t>
            </w:r>
          </w:p>
        </w:tc>
        <w:tc>
          <w:tcPr>
            <w:tcW w:type="dxa" w:w="1928"/>
            <w:vAlign w:val="center"/>
          </w:tcPr>
          <w:p>
            <w:pPr>
              <w:spacing w:after="0" w:before="0"/>
            </w:pPr>
            <w:r/>
            <w:r>
              <w:rPr>
                <w:b w:val="0"/>
                <w:sz w:val="13"/>
              </w:rPr>
              <w:t>SPECIFICATION VERIFIED</w:t>
            </w:r>
          </w:p>
        </w:tc>
      </w:tr>
      <w:tr>
        <w:trPr>
          <w:cantSplit/>
        </w:trPr>
        <w:tc>
          <w:tcPr>
            <w:tcW w:type="dxa" w:w="1701"/>
            <w:vAlign w:val="center"/>
          </w:tcPr>
          <w:p>
            <w:pPr>
              <w:spacing w:after="0" w:before="0"/>
            </w:pPr>
            <w:r/>
            <w:r>
              <w:rPr>
                <w:b w:val="0"/>
                <w:sz w:val="13"/>
              </w:rPr>
              <w:t>Paton Feb 2026</w:t>
            </w:r>
          </w:p>
        </w:tc>
        <w:tc>
          <w:tcPr>
            <w:tcW w:type="dxa" w:w="2835"/>
            <w:vAlign w:val="center"/>
          </w:tcPr>
          <w:p>
            <w:pPr>
              <w:spacing w:after="0" w:before="0"/>
            </w:pPr>
            <w:r/>
            <w:r>
              <w:rPr>
                <w:b w:val="0"/>
                <w:sz w:val="13"/>
              </w:rPr>
              <w:t>Admissibility + reachability formalism</w:t>
            </w:r>
          </w:p>
        </w:tc>
        <w:tc>
          <w:tcPr>
            <w:tcW w:type="dxa" w:w="1928"/>
            <w:vAlign w:val="center"/>
          </w:tcPr>
          <w:p>
            <w:pPr>
              <w:spacing w:after="0" w:before="0"/>
            </w:pPr>
            <w:r/>
            <w:r>
              <w:rPr>
                <w:b w:val="0"/>
                <w:sz w:val="13"/>
              </w:rPr>
              <w:t>FORMAL</w:t>
            </w:r>
          </w:p>
        </w:tc>
        <w:tc>
          <w:tcPr>
            <w:tcW w:type="dxa" w:w="3288"/>
            <w:vAlign w:val="center"/>
          </w:tcPr>
          <w:p>
            <w:pPr>
              <w:spacing w:after="0" w:before="0"/>
            </w:pPr>
            <w:r/>
            <w:r>
              <w:rPr>
                <w:b w:val="0"/>
                <w:sz w:val="13"/>
              </w:rPr>
              <w:t>No mass falsification count identified in foundational records</w:t>
            </w:r>
          </w:p>
        </w:tc>
        <w:tc>
          <w:tcPr>
            <w:tcW w:type="dxa" w:w="1928"/>
            <w:vAlign w:val="center"/>
          </w:tcPr>
          <w:p>
            <w:pPr>
              <w:spacing w:after="0" w:before="0"/>
            </w:pPr>
            <w:r/>
            <w:r>
              <w:rPr>
                <w:b w:val="0"/>
                <w:sz w:val="13"/>
              </w:rPr>
              <w:t>SOURCE-LEVEL ONLY</w:t>
            </w:r>
          </w:p>
        </w:tc>
      </w:tr>
      <w:tr>
        <w:trPr>
          <w:cantSplit/>
        </w:trPr>
        <w:tc>
          <w:tcPr>
            <w:tcW w:type="dxa" w:w="1701"/>
            <w:vAlign w:val="center"/>
          </w:tcPr>
          <w:p>
            <w:pPr>
              <w:spacing w:after="0" w:before="0"/>
            </w:pPr>
            <w:r/>
            <w:r>
              <w:rPr>
                <w:b w:val="0"/>
                <w:sz w:val="13"/>
              </w:rPr>
              <w:t>Al-Mayahi 2026</w:t>
            </w:r>
          </w:p>
        </w:tc>
        <w:tc>
          <w:tcPr>
            <w:tcW w:type="dxa" w:w="2835"/>
            <w:vAlign w:val="center"/>
          </w:tcPr>
          <w:p>
            <w:pPr>
              <w:spacing w:after="0" w:before="0"/>
            </w:pPr>
            <w:r/>
            <w:r>
              <w:rPr>
                <w:b w:val="0"/>
                <w:sz w:val="13"/>
              </w:rPr>
              <w:t>Seven-domain post-diction/residual analysis</w:t>
            </w:r>
          </w:p>
        </w:tc>
        <w:tc>
          <w:tcPr>
            <w:tcW w:type="dxa" w:w="1928"/>
            <w:vAlign w:val="center"/>
          </w:tcPr>
          <w:p>
            <w:pPr>
              <w:spacing w:after="0" w:before="0"/>
            </w:pPr>
            <w:r/>
            <w:r>
              <w:rPr>
                <w:b w:val="0"/>
                <w:sz w:val="13"/>
              </w:rPr>
              <w:t>DATASET / POST-DICTION</w:t>
            </w:r>
          </w:p>
        </w:tc>
        <w:tc>
          <w:tcPr>
            <w:tcW w:type="dxa" w:w="3288"/>
            <w:vAlign w:val="center"/>
          </w:tcPr>
          <w:p>
            <w:pPr>
              <w:spacing w:after="0" w:before="0"/>
            </w:pPr>
            <w:r/>
            <w:r>
              <w:rPr>
                <w:b w:val="0"/>
                <w:sz w:val="13"/>
              </w:rPr>
              <w:t>Author-reported cross-domain evaluation; not seven replications</w:t>
            </w:r>
          </w:p>
        </w:tc>
        <w:tc>
          <w:tcPr>
            <w:tcW w:type="dxa" w:w="1928"/>
            <w:vAlign w:val="center"/>
          </w:tcPr>
          <w:p>
            <w:pPr>
              <w:spacing w:after="0" w:before="0"/>
            </w:pPr>
            <w:r/>
            <w:r>
              <w:rPr>
                <w:b w:val="0"/>
                <w:sz w:val="13"/>
              </w:rPr>
              <w:t>NOT INDEPENDENTLY REPRODUCED</w:t>
            </w:r>
          </w:p>
        </w:tc>
      </w:tr>
      <w:tr>
        <w:trPr>
          <w:cantSplit/>
        </w:trPr>
        <w:tc>
          <w:tcPr>
            <w:tcW w:type="dxa" w:w="1701"/>
            <w:vAlign w:val="center"/>
          </w:tcPr>
          <w:p>
            <w:pPr>
              <w:spacing w:after="0" w:before="0"/>
            </w:pPr>
            <w:r/>
            <w:r>
              <w:rPr>
                <w:b w:val="0"/>
                <w:sz w:val="13"/>
              </w:rPr>
              <w:t>Synergic Modeling 2026</w:t>
            </w:r>
          </w:p>
        </w:tc>
        <w:tc>
          <w:tcPr>
            <w:tcW w:type="dxa" w:w="2835"/>
            <w:vAlign w:val="center"/>
          </w:tcPr>
          <w:p>
            <w:pPr>
              <w:spacing w:after="0" w:before="0"/>
            </w:pPr>
            <w:r/>
            <w:r>
              <w:rPr>
                <w:b w:val="0"/>
                <w:sz w:val="13"/>
              </w:rPr>
              <w:t>Constraint/trajectory composition</w:t>
            </w:r>
          </w:p>
        </w:tc>
        <w:tc>
          <w:tcPr>
            <w:tcW w:type="dxa" w:w="1928"/>
            <w:vAlign w:val="center"/>
          </w:tcPr>
          <w:p>
            <w:pPr>
              <w:spacing w:after="0" w:before="0"/>
            </w:pPr>
            <w:r/>
            <w:r>
              <w:rPr>
                <w:b w:val="0"/>
                <w:sz w:val="13"/>
              </w:rPr>
              <w:t>FORMAL / peer-reviewed</w:t>
            </w:r>
          </w:p>
        </w:tc>
        <w:tc>
          <w:tcPr>
            <w:tcW w:type="dxa" w:w="3288"/>
            <w:vAlign w:val="center"/>
          </w:tcPr>
          <w:p>
            <w:pPr>
              <w:spacing w:after="0" w:before="0"/>
            </w:pPr>
            <w:r/>
            <w:r>
              <w:rPr>
                <w:b w:val="0"/>
                <w:sz w:val="13"/>
              </w:rPr>
              <w:t>Model-driven engineering formal convergence</w:t>
            </w:r>
          </w:p>
        </w:tc>
        <w:tc>
          <w:tcPr>
            <w:tcW w:type="dxa" w:w="1928"/>
            <w:vAlign w:val="center"/>
          </w:tcPr>
          <w:p>
            <w:pPr>
              <w:spacing w:after="0" w:before="0"/>
            </w:pPr>
            <w:r/>
            <w:r>
              <w:rPr>
                <w:b w:val="0"/>
                <w:sz w:val="13"/>
              </w:rPr>
              <w:t>VERIFIED SOURCE</w:t>
            </w:r>
          </w:p>
        </w:tc>
      </w:tr>
    </w:tbl>
    <w:p>
      <w:pPr>
        <w:pStyle w:val="Heading1"/>
        <w:keepNext/>
        <w:keepLines/>
      </w:pPr>
      <w:r>
        <w:t>37. Independent reproduction and executable-scope audit</w:t>
      </w:r>
    </w:p>
    <w:p>
      <w:pPr>
        <w:pStyle w:val="Heading2"/>
        <w:keepNext/>
        <w:keepLines/>
      </w:pPr>
      <w:r>
        <w:t>37.1 Certificate P6-PITON-REP-001 — synthetic sweep independently reproduced</w:t>
      </w:r>
    </w:p>
    <w:p>
      <w:pPr>
        <w:spacing w:after="100"/>
      </w:pPr>
      <w:r>
        <w:rPr>
          <w:b/>
        </w:rPr>
        <w:t xml:space="preserve">Public algorithm — </w:t>
      </w:r>
      <w:r>
        <w:t>PITON_PLUS.py samples β~Uniform(0.01,1), ΔΦ~LogNormal(0,0.5), T~Normal(0.5,0.15) clipped to [0.01,1], and σ~Exponential(scale=0.2); then computes S=(β·ΔΦ)/(T·σ) and state=1{S&gt;1}. The default constructor uses 100,000 simulations; the example main uses 10,000.</w:t>
      </w:r>
    </w:p>
    <w:tbl>
      <w:tblPr>
        <w:tblStyle w:val="TableGrid"/>
        <w:tblW w:type="auto" w:w="0"/>
        <w:jc w:val="center"/>
        <w:tblLayout w:type="autofit"/>
        <w:tblLook w:firstColumn="1" w:firstRow="1" w:lastColumn="0" w:lastRow="0" w:noHBand="0" w:noVBand="1" w:val="04A0"/>
      </w:tblPr>
      <w:tblGrid>
        <w:gridCol w:w="1393"/>
        <w:gridCol w:w="1393"/>
        <w:gridCol w:w="1393"/>
        <w:gridCol w:w="1393"/>
        <w:gridCol w:w="1393"/>
        <w:gridCol w:w="1393"/>
        <w:gridCol w:w="1393"/>
      </w:tblGrid>
      <w:tr>
        <w:trPr>
          <w:tblHeader w:val="true"/>
        </w:trPr>
        <w:tc>
          <w:tcPr>
            <w:tcW w:type="dxa" w:w="680"/>
            <w:vAlign w:val="center"/>
            <w:shd w:fill="D9EAF7"/>
          </w:tcPr>
          <w:p>
            <w:pPr>
              <w:spacing w:after="0" w:before="0"/>
            </w:pPr>
            <w:r/>
            <w:r>
              <w:rPr>
                <w:b/>
                <w:sz w:val="13"/>
              </w:rPr>
              <w:t>Seed</w:t>
            </w:r>
          </w:p>
        </w:tc>
        <w:tc>
          <w:tcPr>
            <w:tcW w:type="dxa" w:w="1247"/>
            <w:vAlign w:val="center"/>
            <w:shd w:fill="D9EAF7"/>
          </w:tcPr>
          <w:p>
            <w:pPr>
              <w:spacing w:after="0" w:before="0"/>
            </w:pPr>
            <w:r/>
            <w:r>
              <w:rPr>
                <w:b/>
                <w:sz w:val="13"/>
              </w:rPr>
              <w:t>n</w:t>
            </w:r>
          </w:p>
        </w:tc>
        <w:tc>
          <w:tcPr>
            <w:tcW w:type="dxa" w:w="1247"/>
            <w:vAlign w:val="center"/>
            <w:shd w:fill="D9EAF7"/>
          </w:tcPr>
          <w:p>
            <w:pPr>
              <w:spacing w:after="0" w:before="0"/>
            </w:pPr>
            <w:r/>
            <w:r>
              <w:rPr>
                <w:b/>
                <w:sz w:val="13"/>
              </w:rPr>
              <w:t>P(S&gt;1)</w:t>
            </w:r>
          </w:p>
        </w:tc>
        <w:tc>
          <w:tcPr>
            <w:tcW w:type="dxa" w:w="1134"/>
            <w:vAlign w:val="center"/>
            <w:shd w:fill="D9EAF7"/>
          </w:tcPr>
          <w:p>
            <w:pPr>
              <w:spacing w:after="0" w:before="0"/>
            </w:pPr>
            <w:r/>
            <w:r>
              <w:rPr>
                <w:b/>
                <w:sz w:val="13"/>
              </w:rPr>
              <w:t>n σ&gt;0.8</w:t>
            </w:r>
          </w:p>
        </w:tc>
        <w:tc>
          <w:tcPr>
            <w:tcW w:type="dxa" w:w="1814"/>
            <w:vAlign w:val="center"/>
            <w:shd w:fill="D9EAF7"/>
          </w:tcPr>
          <w:p>
            <w:pPr>
              <w:spacing w:after="0" w:before="0"/>
            </w:pPr>
            <w:r/>
            <w:r>
              <w:rPr>
                <w:b/>
                <w:sz w:val="13"/>
              </w:rPr>
              <w:t>Survival σ&gt;0.8</w:t>
            </w:r>
          </w:p>
        </w:tc>
        <w:tc>
          <w:tcPr>
            <w:tcW w:type="dxa" w:w="1417"/>
            <w:vAlign w:val="center"/>
            <w:shd w:fill="D9EAF7"/>
          </w:tcPr>
          <w:p>
            <w:pPr>
              <w:spacing w:after="0" w:before="0"/>
            </w:pPr>
            <w:r/>
            <w:r>
              <w:rPr>
                <w:b/>
                <w:sz w:val="13"/>
              </w:rPr>
              <w:t>n rescue subset</w:t>
            </w:r>
          </w:p>
        </w:tc>
        <w:tc>
          <w:tcPr>
            <w:tcW w:type="dxa" w:w="1361"/>
            <w:vAlign w:val="center"/>
            <w:shd w:fill="D9EAF7"/>
          </w:tcPr>
          <w:p>
            <w:pPr>
              <w:spacing w:after="0" w:before="0"/>
            </w:pPr>
            <w:r/>
            <w:r>
              <w:rPr>
                <w:b/>
                <w:sz w:val="13"/>
              </w:rPr>
              <w:t>Rescue rate</w:t>
            </w:r>
          </w:p>
        </w:tc>
      </w:tr>
      <w:tr>
        <w:trPr>
          <w:cantSplit/>
        </w:trPr>
        <w:tc>
          <w:tcPr>
            <w:tcW w:type="dxa" w:w="680"/>
            <w:vAlign w:val="center"/>
          </w:tcPr>
          <w:p>
            <w:pPr>
              <w:spacing w:after="0" w:before="0"/>
            </w:pPr>
            <w:r/>
            <w:r>
              <w:rPr>
                <w:b w:val="0"/>
                <w:sz w:val="13"/>
              </w:rPr>
              <w:t>0</w:t>
            </w:r>
          </w:p>
        </w:tc>
        <w:tc>
          <w:tcPr>
            <w:tcW w:type="dxa" w:w="1247"/>
            <w:vAlign w:val="center"/>
          </w:tcPr>
          <w:p>
            <w:pPr>
              <w:spacing w:after="0" w:before="0"/>
            </w:pPr>
            <w:r/>
            <w:r>
              <w:rPr>
                <w:b w:val="0"/>
                <w:sz w:val="13"/>
              </w:rPr>
              <w:t>100000</w:t>
            </w:r>
          </w:p>
        </w:tc>
        <w:tc>
          <w:tcPr>
            <w:tcW w:type="dxa" w:w="1247"/>
            <w:vAlign w:val="center"/>
          </w:tcPr>
          <w:p>
            <w:pPr>
              <w:spacing w:after="0" w:before="0"/>
            </w:pPr>
            <w:r/>
            <w:r>
              <w:rPr>
                <w:b w:val="0"/>
                <w:sz w:val="13"/>
              </w:rPr>
              <w:t>89.604%</w:t>
            </w:r>
          </w:p>
        </w:tc>
        <w:tc>
          <w:tcPr>
            <w:tcW w:type="dxa" w:w="1134"/>
            <w:vAlign w:val="center"/>
          </w:tcPr>
          <w:p>
            <w:pPr>
              <w:spacing w:after="0" w:before="0"/>
            </w:pPr>
            <w:r/>
            <w:r>
              <w:rPr>
                <w:b w:val="0"/>
                <w:sz w:val="13"/>
              </w:rPr>
              <w:t>1861</w:t>
            </w:r>
          </w:p>
        </w:tc>
        <w:tc>
          <w:tcPr>
            <w:tcW w:type="dxa" w:w="1814"/>
            <w:vAlign w:val="center"/>
          </w:tcPr>
          <w:p>
            <w:pPr>
              <w:spacing w:after="0" w:before="0"/>
            </w:pPr>
            <w:r/>
            <w:r>
              <w:rPr>
                <w:b w:val="0"/>
                <w:sz w:val="13"/>
              </w:rPr>
              <w:t>46.48%</w:t>
            </w:r>
          </w:p>
        </w:tc>
        <w:tc>
          <w:tcPr>
            <w:tcW w:type="dxa" w:w="1417"/>
            <w:vAlign w:val="center"/>
          </w:tcPr>
          <w:p>
            <w:pPr>
              <w:spacing w:after="0" w:before="0"/>
            </w:pPr>
            <w:r/>
            <w:r>
              <w:rPr>
                <w:b w:val="0"/>
                <w:sz w:val="13"/>
              </w:rPr>
              <w:t>174</w:t>
            </w:r>
          </w:p>
        </w:tc>
        <w:tc>
          <w:tcPr>
            <w:tcW w:type="dxa" w:w="1361"/>
            <w:vAlign w:val="center"/>
          </w:tcPr>
          <w:p>
            <w:pPr>
              <w:spacing w:after="0" w:before="0"/>
            </w:pPr>
            <w:r/>
            <w:r>
              <w:rPr>
                <w:b w:val="0"/>
                <w:sz w:val="13"/>
              </w:rPr>
              <w:t>94.83%</w:t>
            </w:r>
          </w:p>
        </w:tc>
      </w:tr>
      <w:tr>
        <w:trPr>
          <w:cantSplit/>
        </w:trPr>
        <w:tc>
          <w:tcPr>
            <w:tcW w:type="dxa" w:w="680"/>
            <w:vAlign w:val="center"/>
          </w:tcPr>
          <w:p>
            <w:pPr>
              <w:spacing w:after="0" w:before="0"/>
            </w:pPr>
            <w:r/>
            <w:r>
              <w:rPr>
                <w:b w:val="0"/>
                <w:sz w:val="13"/>
              </w:rPr>
              <w:t>1</w:t>
            </w:r>
          </w:p>
        </w:tc>
        <w:tc>
          <w:tcPr>
            <w:tcW w:type="dxa" w:w="1247"/>
            <w:vAlign w:val="center"/>
          </w:tcPr>
          <w:p>
            <w:pPr>
              <w:spacing w:after="0" w:before="0"/>
            </w:pPr>
            <w:r/>
            <w:r>
              <w:rPr>
                <w:b w:val="0"/>
                <w:sz w:val="13"/>
              </w:rPr>
              <w:t>100000</w:t>
            </w:r>
          </w:p>
        </w:tc>
        <w:tc>
          <w:tcPr>
            <w:tcW w:type="dxa" w:w="1247"/>
            <w:vAlign w:val="center"/>
          </w:tcPr>
          <w:p>
            <w:pPr>
              <w:spacing w:after="0" w:before="0"/>
            </w:pPr>
            <w:r/>
            <w:r>
              <w:rPr>
                <w:b w:val="0"/>
                <w:sz w:val="13"/>
              </w:rPr>
              <w:t>89.489%</w:t>
            </w:r>
          </w:p>
        </w:tc>
        <w:tc>
          <w:tcPr>
            <w:tcW w:type="dxa" w:w="1134"/>
            <w:vAlign w:val="center"/>
          </w:tcPr>
          <w:p>
            <w:pPr>
              <w:spacing w:after="0" w:before="0"/>
            </w:pPr>
            <w:r/>
            <w:r>
              <w:rPr>
                <w:b w:val="0"/>
                <w:sz w:val="13"/>
              </w:rPr>
              <w:t>1846</w:t>
            </w:r>
          </w:p>
        </w:tc>
        <w:tc>
          <w:tcPr>
            <w:tcW w:type="dxa" w:w="1814"/>
            <w:vAlign w:val="center"/>
          </w:tcPr>
          <w:p>
            <w:pPr>
              <w:spacing w:after="0" w:before="0"/>
            </w:pPr>
            <w:r/>
            <w:r>
              <w:rPr>
                <w:b w:val="0"/>
                <w:sz w:val="13"/>
              </w:rPr>
              <w:t>47.72%</w:t>
            </w:r>
          </w:p>
        </w:tc>
        <w:tc>
          <w:tcPr>
            <w:tcW w:type="dxa" w:w="1417"/>
            <w:vAlign w:val="center"/>
          </w:tcPr>
          <w:p>
            <w:pPr>
              <w:spacing w:after="0" w:before="0"/>
            </w:pPr>
            <w:r/>
            <w:r>
              <w:rPr>
                <w:b w:val="0"/>
                <w:sz w:val="13"/>
              </w:rPr>
              <w:t>209</w:t>
            </w:r>
          </w:p>
        </w:tc>
        <w:tc>
          <w:tcPr>
            <w:tcW w:type="dxa" w:w="1361"/>
            <w:vAlign w:val="center"/>
          </w:tcPr>
          <w:p>
            <w:pPr>
              <w:spacing w:after="0" w:before="0"/>
            </w:pPr>
            <w:r/>
            <w:r>
              <w:rPr>
                <w:b w:val="0"/>
                <w:sz w:val="13"/>
              </w:rPr>
              <w:t>94.26%</w:t>
            </w:r>
          </w:p>
        </w:tc>
      </w:tr>
      <w:tr>
        <w:trPr>
          <w:cantSplit/>
        </w:trPr>
        <w:tc>
          <w:tcPr>
            <w:tcW w:type="dxa" w:w="680"/>
            <w:vAlign w:val="center"/>
          </w:tcPr>
          <w:p>
            <w:pPr>
              <w:spacing w:after="0" w:before="0"/>
            </w:pPr>
            <w:r/>
            <w:r>
              <w:rPr>
                <w:b w:val="0"/>
                <w:sz w:val="13"/>
              </w:rPr>
              <w:t>2</w:t>
            </w:r>
          </w:p>
        </w:tc>
        <w:tc>
          <w:tcPr>
            <w:tcW w:type="dxa" w:w="1247"/>
            <w:vAlign w:val="center"/>
          </w:tcPr>
          <w:p>
            <w:pPr>
              <w:spacing w:after="0" w:before="0"/>
            </w:pPr>
            <w:r/>
            <w:r>
              <w:rPr>
                <w:b w:val="0"/>
                <w:sz w:val="13"/>
              </w:rPr>
              <w:t>100000</w:t>
            </w:r>
          </w:p>
        </w:tc>
        <w:tc>
          <w:tcPr>
            <w:tcW w:type="dxa" w:w="1247"/>
            <w:vAlign w:val="center"/>
          </w:tcPr>
          <w:p>
            <w:pPr>
              <w:spacing w:after="0" w:before="0"/>
            </w:pPr>
            <w:r/>
            <w:r>
              <w:rPr>
                <w:b w:val="0"/>
                <w:sz w:val="13"/>
              </w:rPr>
              <w:t>89.568%</w:t>
            </w:r>
          </w:p>
        </w:tc>
        <w:tc>
          <w:tcPr>
            <w:tcW w:type="dxa" w:w="1134"/>
            <w:vAlign w:val="center"/>
          </w:tcPr>
          <w:p>
            <w:pPr>
              <w:spacing w:after="0" w:before="0"/>
            </w:pPr>
            <w:r/>
            <w:r>
              <w:rPr>
                <w:b w:val="0"/>
                <w:sz w:val="13"/>
              </w:rPr>
              <w:t>1876</w:t>
            </w:r>
          </w:p>
        </w:tc>
        <w:tc>
          <w:tcPr>
            <w:tcW w:type="dxa" w:w="1814"/>
            <w:vAlign w:val="center"/>
          </w:tcPr>
          <w:p>
            <w:pPr>
              <w:spacing w:after="0" w:before="0"/>
            </w:pPr>
            <w:r/>
            <w:r>
              <w:rPr>
                <w:b w:val="0"/>
                <w:sz w:val="13"/>
              </w:rPr>
              <w:t>47.28%</w:t>
            </w:r>
          </w:p>
        </w:tc>
        <w:tc>
          <w:tcPr>
            <w:tcW w:type="dxa" w:w="1417"/>
            <w:vAlign w:val="center"/>
          </w:tcPr>
          <w:p>
            <w:pPr>
              <w:spacing w:after="0" w:before="0"/>
            </w:pPr>
            <w:r/>
            <w:r>
              <w:rPr>
                <w:b w:val="0"/>
                <w:sz w:val="13"/>
              </w:rPr>
              <w:t>183</w:t>
            </w:r>
          </w:p>
        </w:tc>
        <w:tc>
          <w:tcPr>
            <w:tcW w:type="dxa" w:w="1361"/>
            <w:vAlign w:val="center"/>
          </w:tcPr>
          <w:p>
            <w:pPr>
              <w:spacing w:after="0" w:before="0"/>
            </w:pPr>
            <w:r/>
            <w:r>
              <w:rPr>
                <w:b w:val="0"/>
                <w:sz w:val="13"/>
              </w:rPr>
              <w:t>90.16%</w:t>
            </w:r>
          </w:p>
        </w:tc>
      </w:tr>
      <w:tr>
        <w:trPr>
          <w:cantSplit/>
        </w:trPr>
        <w:tc>
          <w:tcPr>
            <w:tcW w:type="dxa" w:w="680"/>
            <w:vAlign w:val="center"/>
          </w:tcPr>
          <w:p>
            <w:pPr>
              <w:spacing w:after="0" w:before="0"/>
            </w:pPr>
            <w:r/>
            <w:r>
              <w:rPr>
                <w:b w:val="0"/>
                <w:sz w:val="13"/>
              </w:rPr>
              <w:t>3</w:t>
            </w:r>
          </w:p>
        </w:tc>
        <w:tc>
          <w:tcPr>
            <w:tcW w:type="dxa" w:w="1247"/>
            <w:vAlign w:val="center"/>
          </w:tcPr>
          <w:p>
            <w:pPr>
              <w:spacing w:after="0" w:before="0"/>
            </w:pPr>
            <w:r/>
            <w:r>
              <w:rPr>
                <w:b w:val="0"/>
                <w:sz w:val="13"/>
              </w:rPr>
              <w:t>100000</w:t>
            </w:r>
          </w:p>
        </w:tc>
        <w:tc>
          <w:tcPr>
            <w:tcW w:type="dxa" w:w="1247"/>
            <w:vAlign w:val="center"/>
          </w:tcPr>
          <w:p>
            <w:pPr>
              <w:spacing w:after="0" w:before="0"/>
            </w:pPr>
            <w:r/>
            <w:r>
              <w:rPr>
                <w:b w:val="0"/>
                <w:sz w:val="13"/>
              </w:rPr>
              <w:t>89.735%</w:t>
            </w:r>
          </w:p>
        </w:tc>
        <w:tc>
          <w:tcPr>
            <w:tcW w:type="dxa" w:w="1134"/>
            <w:vAlign w:val="center"/>
          </w:tcPr>
          <w:p>
            <w:pPr>
              <w:spacing w:after="0" w:before="0"/>
            </w:pPr>
            <w:r/>
            <w:r>
              <w:rPr>
                <w:b w:val="0"/>
                <w:sz w:val="13"/>
              </w:rPr>
              <w:t>1892</w:t>
            </w:r>
          </w:p>
        </w:tc>
        <w:tc>
          <w:tcPr>
            <w:tcW w:type="dxa" w:w="1814"/>
            <w:vAlign w:val="center"/>
          </w:tcPr>
          <w:p>
            <w:pPr>
              <w:spacing w:after="0" w:before="0"/>
            </w:pPr>
            <w:r/>
            <w:r>
              <w:rPr>
                <w:b w:val="0"/>
                <w:sz w:val="13"/>
              </w:rPr>
              <w:t>48.31%</w:t>
            </w:r>
          </w:p>
        </w:tc>
        <w:tc>
          <w:tcPr>
            <w:tcW w:type="dxa" w:w="1417"/>
            <w:vAlign w:val="center"/>
          </w:tcPr>
          <w:p>
            <w:pPr>
              <w:spacing w:after="0" w:before="0"/>
            </w:pPr>
            <w:r/>
            <w:r>
              <w:rPr>
                <w:b w:val="0"/>
                <w:sz w:val="13"/>
              </w:rPr>
              <w:t>204</w:t>
            </w:r>
          </w:p>
        </w:tc>
        <w:tc>
          <w:tcPr>
            <w:tcW w:type="dxa" w:w="1361"/>
            <w:vAlign w:val="center"/>
          </w:tcPr>
          <w:p>
            <w:pPr>
              <w:spacing w:after="0" w:before="0"/>
            </w:pPr>
            <w:r/>
            <w:r>
              <w:rPr>
                <w:b w:val="0"/>
                <w:sz w:val="13"/>
              </w:rPr>
              <w:t>97.55%</w:t>
            </w:r>
          </w:p>
        </w:tc>
      </w:tr>
      <w:tr>
        <w:trPr>
          <w:cantSplit/>
        </w:trPr>
        <w:tc>
          <w:tcPr>
            <w:tcW w:type="dxa" w:w="680"/>
            <w:vAlign w:val="center"/>
          </w:tcPr>
          <w:p>
            <w:pPr>
              <w:spacing w:after="0" w:before="0"/>
            </w:pPr>
            <w:r/>
            <w:r>
              <w:rPr>
                <w:b w:val="0"/>
                <w:sz w:val="13"/>
              </w:rPr>
              <w:t>4</w:t>
            </w:r>
          </w:p>
        </w:tc>
        <w:tc>
          <w:tcPr>
            <w:tcW w:type="dxa" w:w="1247"/>
            <w:vAlign w:val="center"/>
          </w:tcPr>
          <w:p>
            <w:pPr>
              <w:spacing w:after="0" w:before="0"/>
            </w:pPr>
            <w:r/>
            <w:r>
              <w:rPr>
                <w:b w:val="0"/>
                <w:sz w:val="13"/>
              </w:rPr>
              <w:t>100000</w:t>
            </w:r>
          </w:p>
        </w:tc>
        <w:tc>
          <w:tcPr>
            <w:tcW w:type="dxa" w:w="1247"/>
            <w:vAlign w:val="center"/>
          </w:tcPr>
          <w:p>
            <w:pPr>
              <w:spacing w:after="0" w:before="0"/>
            </w:pPr>
            <w:r/>
            <w:r>
              <w:rPr>
                <w:b w:val="0"/>
                <w:sz w:val="13"/>
              </w:rPr>
              <w:t>89.524%</w:t>
            </w:r>
          </w:p>
        </w:tc>
        <w:tc>
          <w:tcPr>
            <w:tcW w:type="dxa" w:w="1134"/>
            <w:vAlign w:val="center"/>
          </w:tcPr>
          <w:p>
            <w:pPr>
              <w:spacing w:after="0" w:before="0"/>
            </w:pPr>
            <w:r/>
            <w:r>
              <w:rPr>
                <w:b w:val="0"/>
                <w:sz w:val="13"/>
              </w:rPr>
              <w:t>1848</w:t>
            </w:r>
          </w:p>
        </w:tc>
        <w:tc>
          <w:tcPr>
            <w:tcW w:type="dxa" w:w="1814"/>
            <w:vAlign w:val="center"/>
          </w:tcPr>
          <w:p>
            <w:pPr>
              <w:spacing w:after="0" w:before="0"/>
            </w:pPr>
            <w:r/>
            <w:r>
              <w:rPr>
                <w:b w:val="0"/>
                <w:sz w:val="13"/>
              </w:rPr>
              <w:t>48.16%</w:t>
            </w:r>
          </w:p>
        </w:tc>
        <w:tc>
          <w:tcPr>
            <w:tcW w:type="dxa" w:w="1417"/>
            <w:vAlign w:val="center"/>
          </w:tcPr>
          <w:p>
            <w:pPr>
              <w:spacing w:after="0" w:before="0"/>
            </w:pPr>
            <w:r/>
            <w:r>
              <w:rPr>
                <w:b w:val="0"/>
                <w:sz w:val="13"/>
              </w:rPr>
              <w:t>174</w:t>
            </w:r>
          </w:p>
        </w:tc>
        <w:tc>
          <w:tcPr>
            <w:tcW w:type="dxa" w:w="1361"/>
            <w:vAlign w:val="center"/>
          </w:tcPr>
          <w:p>
            <w:pPr>
              <w:spacing w:after="0" w:before="0"/>
            </w:pPr>
            <w:r/>
            <w:r>
              <w:rPr>
                <w:b w:val="0"/>
                <w:sz w:val="13"/>
              </w:rPr>
              <w:t>94.25%</w:t>
            </w:r>
          </w:p>
        </w:tc>
      </w:tr>
      <w:tr>
        <w:trPr>
          <w:cantSplit/>
        </w:trPr>
        <w:tc>
          <w:tcPr>
            <w:tcW w:type="dxa" w:w="680"/>
            <w:vAlign w:val="center"/>
          </w:tcPr>
          <w:p>
            <w:pPr>
              <w:spacing w:after="0" w:before="0"/>
            </w:pPr>
            <w:r/>
            <w:r>
              <w:rPr>
                <w:b w:val="0"/>
                <w:sz w:val="13"/>
              </w:rPr>
              <w:t>5</w:t>
            </w:r>
          </w:p>
        </w:tc>
        <w:tc>
          <w:tcPr>
            <w:tcW w:type="dxa" w:w="1247"/>
            <w:vAlign w:val="center"/>
          </w:tcPr>
          <w:p>
            <w:pPr>
              <w:spacing w:after="0" w:before="0"/>
            </w:pPr>
            <w:r/>
            <w:r>
              <w:rPr>
                <w:b w:val="0"/>
                <w:sz w:val="13"/>
              </w:rPr>
              <w:t>100000</w:t>
            </w:r>
          </w:p>
        </w:tc>
        <w:tc>
          <w:tcPr>
            <w:tcW w:type="dxa" w:w="1247"/>
            <w:vAlign w:val="center"/>
          </w:tcPr>
          <w:p>
            <w:pPr>
              <w:spacing w:after="0" w:before="0"/>
            </w:pPr>
            <w:r/>
            <w:r>
              <w:rPr>
                <w:b w:val="0"/>
                <w:sz w:val="13"/>
              </w:rPr>
              <w:t>89.632%</w:t>
            </w:r>
          </w:p>
        </w:tc>
        <w:tc>
          <w:tcPr>
            <w:tcW w:type="dxa" w:w="1134"/>
            <w:vAlign w:val="center"/>
          </w:tcPr>
          <w:p>
            <w:pPr>
              <w:spacing w:after="0" w:before="0"/>
            </w:pPr>
            <w:r/>
            <w:r>
              <w:rPr>
                <w:b w:val="0"/>
                <w:sz w:val="13"/>
              </w:rPr>
              <w:t>1853</w:t>
            </w:r>
          </w:p>
        </w:tc>
        <w:tc>
          <w:tcPr>
            <w:tcW w:type="dxa" w:w="1814"/>
            <w:vAlign w:val="center"/>
          </w:tcPr>
          <w:p>
            <w:pPr>
              <w:spacing w:after="0" w:before="0"/>
            </w:pPr>
            <w:r/>
            <w:r>
              <w:rPr>
                <w:b w:val="0"/>
                <w:sz w:val="13"/>
              </w:rPr>
              <w:t>46.25%</w:t>
            </w:r>
          </w:p>
        </w:tc>
        <w:tc>
          <w:tcPr>
            <w:tcW w:type="dxa" w:w="1417"/>
            <w:vAlign w:val="center"/>
          </w:tcPr>
          <w:p>
            <w:pPr>
              <w:spacing w:after="0" w:before="0"/>
            </w:pPr>
            <w:r/>
            <w:r>
              <w:rPr>
                <w:b w:val="0"/>
                <w:sz w:val="13"/>
              </w:rPr>
              <w:t>180</w:t>
            </w:r>
          </w:p>
        </w:tc>
        <w:tc>
          <w:tcPr>
            <w:tcW w:type="dxa" w:w="1361"/>
            <w:vAlign w:val="center"/>
          </w:tcPr>
          <w:p>
            <w:pPr>
              <w:spacing w:after="0" w:before="0"/>
            </w:pPr>
            <w:r/>
            <w:r>
              <w:rPr>
                <w:b w:val="0"/>
                <w:sz w:val="13"/>
              </w:rPr>
              <w:t>92.22%</w:t>
            </w:r>
          </w:p>
        </w:tc>
      </w:tr>
      <w:tr>
        <w:trPr>
          <w:cantSplit/>
        </w:trPr>
        <w:tc>
          <w:tcPr>
            <w:tcW w:type="dxa" w:w="680"/>
            <w:vAlign w:val="center"/>
          </w:tcPr>
          <w:p>
            <w:pPr>
              <w:spacing w:after="0" w:before="0"/>
            </w:pPr>
            <w:r/>
            <w:r>
              <w:rPr>
                <w:b w:val="0"/>
                <w:sz w:val="13"/>
              </w:rPr>
              <w:t>6</w:t>
            </w:r>
          </w:p>
        </w:tc>
        <w:tc>
          <w:tcPr>
            <w:tcW w:type="dxa" w:w="1247"/>
            <w:vAlign w:val="center"/>
          </w:tcPr>
          <w:p>
            <w:pPr>
              <w:spacing w:after="0" w:before="0"/>
            </w:pPr>
            <w:r/>
            <w:r>
              <w:rPr>
                <w:b w:val="0"/>
                <w:sz w:val="13"/>
              </w:rPr>
              <w:t>100000</w:t>
            </w:r>
          </w:p>
        </w:tc>
        <w:tc>
          <w:tcPr>
            <w:tcW w:type="dxa" w:w="1247"/>
            <w:vAlign w:val="center"/>
          </w:tcPr>
          <w:p>
            <w:pPr>
              <w:spacing w:after="0" w:before="0"/>
            </w:pPr>
            <w:r/>
            <w:r>
              <w:rPr>
                <w:b w:val="0"/>
                <w:sz w:val="13"/>
              </w:rPr>
              <w:t>89.489%</w:t>
            </w:r>
          </w:p>
        </w:tc>
        <w:tc>
          <w:tcPr>
            <w:tcW w:type="dxa" w:w="1134"/>
            <w:vAlign w:val="center"/>
          </w:tcPr>
          <w:p>
            <w:pPr>
              <w:spacing w:after="0" w:before="0"/>
            </w:pPr>
            <w:r/>
            <w:r>
              <w:rPr>
                <w:b w:val="0"/>
                <w:sz w:val="13"/>
              </w:rPr>
              <w:t>1856</w:t>
            </w:r>
          </w:p>
        </w:tc>
        <w:tc>
          <w:tcPr>
            <w:tcW w:type="dxa" w:w="1814"/>
            <w:vAlign w:val="center"/>
          </w:tcPr>
          <w:p>
            <w:pPr>
              <w:spacing w:after="0" w:before="0"/>
            </w:pPr>
            <w:r/>
            <w:r>
              <w:rPr>
                <w:b w:val="0"/>
                <w:sz w:val="13"/>
              </w:rPr>
              <w:t>47.36%</w:t>
            </w:r>
          </w:p>
        </w:tc>
        <w:tc>
          <w:tcPr>
            <w:tcW w:type="dxa" w:w="1417"/>
            <w:vAlign w:val="center"/>
          </w:tcPr>
          <w:p>
            <w:pPr>
              <w:spacing w:after="0" w:before="0"/>
            </w:pPr>
            <w:r/>
            <w:r>
              <w:rPr>
                <w:b w:val="0"/>
                <w:sz w:val="13"/>
              </w:rPr>
              <w:t>193</w:t>
            </w:r>
          </w:p>
        </w:tc>
        <w:tc>
          <w:tcPr>
            <w:tcW w:type="dxa" w:w="1361"/>
            <w:vAlign w:val="center"/>
          </w:tcPr>
          <w:p>
            <w:pPr>
              <w:spacing w:after="0" w:before="0"/>
            </w:pPr>
            <w:r/>
            <w:r>
              <w:rPr>
                <w:b w:val="0"/>
                <w:sz w:val="13"/>
              </w:rPr>
              <w:t>95.85%</w:t>
            </w:r>
          </w:p>
        </w:tc>
      </w:tr>
      <w:tr>
        <w:trPr>
          <w:cantSplit/>
        </w:trPr>
        <w:tc>
          <w:tcPr>
            <w:tcW w:type="dxa" w:w="680"/>
            <w:vAlign w:val="center"/>
          </w:tcPr>
          <w:p>
            <w:pPr>
              <w:spacing w:after="0" w:before="0"/>
            </w:pPr>
            <w:r/>
            <w:r>
              <w:rPr>
                <w:b w:val="0"/>
                <w:sz w:val="13"/>
              </w:rPr>
              <w:t>7</w:t>
            </w:r>
          </w:p>
        </w:tc>
        <w:tc>
          <w:tcPr>
            <w:tcW w:type="dxa" w:w="1247"/>
            <w:vAlign w:val="center"/>
          </w:tcPr>
          <w:p>
            <w:pPr>
              <w:spacing w:after="0" w:before="0"/>
            </w:pPr>
            <w:r/>
            <w:r>
              <w:rPr>
                <w:b w:val="0"/>
                <w:sz w:val="13"/>
              </w:rPr>
              <w:t>100000</w:t>
            </w:r>
          </w:p>
        </w:tc>
        <w:tc>
          <w:tcPr>
            <w:tcW w:type="dxa" w:w="1247"/>
            <w:vAlign w:val="center"/>
          </w:tcPr>
          <w:p>
            <w:pPr>
              <w:spacing w:after="0" w:before="0"/>
            </w:pPr>
            <w:r/>
            <w:r>
              <w:rPr>
                <w:b w:val="0"/>
                <w:sz w:val="13"/>
              </w:rPr>
              <w:t>89.561%</w:t>
            </w:r>
          </w:p>
        </w:tc>
        <w:tc>
          <w:tcPr>
            <w:tcW w:type="dxa" w:w="1134"/>
            <w:vAlign w:val="center"/>
          </w:tcPr>
          <w:p>
            <w:pPr>
              <w:spacing w:after="0" w:before="0"/>
            </w:pPr>
            <w:r/>
            <w:r>
              <w:rPr>
                <w:b w:val="0"/>
                <w:sz w:val="13"/>
              </w:rPr>
              <w:t>1843</w:t>
            </w:r>
          </w:p>
        </w:tc>
        <w:tc>
          <w:tcPr>
            <w:tcW w:type="dxa" w:w="1814"/>
            <w:vAlign w:val="center"/>
          </w:tcPr>
          <w:p>
            <w:pPr>
              <w:spacing w:after="0" w:before="0"/>
            </w:pPr>
            <w:r/>
            <w:r>
              <w:rPr>
                <w:b w:val="0"/>
                <w:sz w:val="13"/>
              </w:rPr>
              <w:t>47.04%</w:t>
            </w:r>
          </w:p>
        </w:tc>
        <w:tc>
          <w:tcPr>
            <w:tcW w:type="dxa" w:w="1417"/>
            <w:vAlign w:val="center"/>
          </w:tcPr>
          <w:p>
            <w:pPr>
              <w:spacing w:after="0" w:before="0"/>
            </w:pPr>
            <w:r/>
            <w:r>
              <w:rPr>
                <w:b w:val="0"/>
                <w:sz w:val="13"/>
              </w:rPr>
              <w:t>169</w:t>
            </w:r>
          </w:p>
        </w:tc>
        <w:tc>
          <w:tcPr>
            <w:tcW w:type="dxa" w:w="1361"/>
            <w:vAlign w:val="center"/>
          </w:tcPr>
          <w:p>
            <w:pPr>
              <w:spacing w:after="0" w:before="0"/>
            </w:pPr>
            <w:r/>
            <w:r>
              <w:rPr>
                <w:b w:val="0"/>
                <w:sz w:val="13"/>
              </w:rPr>
              <w:t>90.53%</w:t>
            </w:r>
          </w:p>
        </w:tc>
      </w:tr>
      <w:tr>
        <w:trPr>
          <w:cantSplit/>
        </w:trPr>
        <w:tc>
          <w:tcPr>
            <w:tcW w:type="dxa" w:w="680"/>
            <w:vAlign w:val="center"/>
          </w:tcPr>
          <w:p>
            <w:pPr>
              <w:spacing w:after="0" w:before="0"/>
            </w:pPr>
            <w:r/>
            <w:r>
              <w:rPr>
                <w:b w:val="0"/>
                <w:sz w:val="13"/>
              </w:rPr>
              <w:t>8</w:t>
            </w:r>
          </w:p>
        </w:tc>
        <w:tc>
          <w:tcPr>
            <w:tcW w:type="dxa" w:w="1247"/>
            <w:vAlign w:val="center"/>
          </w:tcPr>
          <w:p>
            <w:pPr>
              <w:spacing w:after="0" w:before="0"/>
            </w:pPr>
            <w:r/>
            <w:r>
              <w:rPr>
                <w:b w:val="0"/>
                <w:sz w:val="13"/>
              </w:rPr>
              <w:t>100000</w:t>
            </w:r>
          </w:p>
        </w:tc>
        <w:tc>
          <w:tcPr>
            <w:tcW w:type="dxa" w:w="1247"/>
            <w:vAlign w:val="center"/>
          </w:tcPr>
          <w:p>
            <w:pPr>
              <w:spacing w:after="0" w:before="0"/>
            </w:pPr>
            <w:r/>
            <w:r>
              <w:rPr>
                <w:b w:val="0"/>
                <w:sz w:val="13"/>
              </w:rPr>
              <w:t>89.681%</w:t>
            </w:r>
          </w:p>
        </w:tc>
        <w:tc>
          <w:tcPr>
            <w:tcW w:type="dxa" w:w="1134"/>
            <w:vAlign w:val="center"/>
          </w:tcPr>
          <w:p>
            <w:pPr>
              <w:spacing w:after="0" w:before="0"/>
            </w:pPr>
            <w:r/>
            <w:r>
              <w:rPr>
                <w:b w:val="0"/>
                <w:sz w:val="13"/>
              </w:rPr>
              <w:t>1794</w:t>
            </w:r>
          </w:p>
        </w:tc>
        <w:tc>
          <w:tcPr>
            <w:tcW w:type="dxa" w:w="1814"/>
            <w:vAlign w:val="center"/>
          </w:tcPr>
          <w:p>
            <w:pPr>
              <w:spacing w:after="0" w:before="0"/>
            </w:pPr>
            <w:r/>
            <w:r>
              <w:rPr>
                <w:b w:val="0"/>
                <w:sz w:val="13"/>
              </w:rPr>
              <w:t>46.77%</w:t>
            </w:r>
          </w:p>
        </w:tc>
        <w:tc>
          <w:tcPr>
            <w:tcW w:type="dxa" w:w="1417"/>
            <w:vAlign w:val="center"/>
          </w:tcPr>
          <w:p>
            <w:pPr>
              <w:spacing w:after="0" w:before="0"/>
            </w:pPr>
            <w:r/>
            <w:r>
              <w:rPr>
                <w:b w:val="0"/>
                <w:sz w:val="13"/>
              </w:rPr>
              <w:t>189</w:t>
            </w:r>
          </w:p>
        </w:tc>
        <w:tc>
          <w:tcPr>
            <w:tcW w:type="dxa" w:w="1361"/>
            <w:vAlign w:val="center"/>
          </w:tcPr>
          <w:p>
            <w:pPr>
              <w:spacing w:after="0" w:before="0"/>
            </w:pPr>
            <w:r/>
            <w:r>
              <w:rPr>
                <w:b w:val="0"/>
                <w:sz w:val="13"/>
              </w:rPr>
              <w:t>94.18%</w:t>
            </w:r>
          </w:p>
        </w:tc>
      </w:tr>
      <w:tr>
        <w:trPr>
          <w:cantSplit/>
        </w:trPr>
        <w:tc>
          <w:tcPr>
            <w:tcW w:type="dxa" w:w="680"/>
            <w:vAlign w:val="center"/>
          </w:tcPr>
          <w:p>
            <w:pPr>
              <w:spacing w:after="0" w:before="0"/>
            </w:pPr>
            <w:r/>
            <w:r>
              <w:rPr>
                <w:b w:val="0"/>
                <w:sz w:val="13"/>
              </w:rPr>
              <w:t>9</w:t>
            </w:r>
          </w:p>
        </w:tc>
        <w:tc>
          <w:tcPr>
            <w:tcW w:type="dxa" w:w="1247"/>
            <w:vAlign w:val="center"/>
          </w:tcPr>
          <w:p>
            <w:pPr>
              <w:spacing w:after="0" w:before="0"/>
            </w:pPr>
            <w:r/>
            <w:r>
              <w:rPr>
                <w:b w:val="0"/>
                <w:sz w:val="13"/>
              </w:rPr>
              <w:t>100000</w:t>
            </w:r>
          </w:p>
        </w:tc>
        <w:tc>
          <w:tcPr>
            <w:tcW w:type="dxa" w:w="1247"/>
            <w:vAlign w:val="center"/>
          </w:tcPr>
          <w:p>
            <w:pPr>
              <w:spacing w:after="0" w:before="0"/>
            </w:pPr>
            <w:r/>
            <w:r>
              <w:rPr>
                <w:b w:val="0"/>
                <w:sz w:val="13"/>
              </w:rPr>
              <w:t>89.608%</w:t>
            </w:r>
          </w:p>
        </w:tc>
        <w:tc>
          <w:tcPr>
            <w:tcW w:type="dxa" w:w="1134"/>
            <w:vAlign w:val="center"/>
          </w:tcPr>
          <w:p>
            <w:pPr>
              <w:spacing w:after="0" w:before="0"/>
            </w:pPr>
            <w:r/>
            <w:r>
              <w:rPr>
                <w:b w:val="0"/>
                <w:sz w:val="13"/>
              </w:rPr>
              <w:t>1808</w:t>
            </w:r>
          </w:p>
        </w:tc>
        <w:tc>
          <w:tcPr>
            <w:tcW w:type="dxa" w:w="1814"/>
            <w:vAlign w:val="center"/>
          </w:tcPr>
          <w:p>
            <w:pPr>
              <w:spacing w:after="0" w:before="0"/>
            </w:pPr>
            <w:r/>
            <w:r>
              <w:rPr>
                <w:b w:val="0"/>
                <w:sz w:val="13"/>
              </w:rPr>
              <w:t>48.34%</w:t>
            </w:r>
          </w:p>
        </w:tc>
        <w:tc>
          <w:tcPr>
            <w:tcW w:type="dxa" w:w="1417"/>
            <w:vAlign w:val="center"/>
          </w:tcPr>
          <w:p>
            <w:pPr>
              <w:spacing w:after="0" w:before="0"/>
            </w:pPr>
            <w:r/>
            <w:r>
              <w:rPr>
                <w:b w:val="0"/>
                <w:sz w:val="13"/>
              </w:rPr>
              <w:t>214</w:t>
            </w:r>
          </w:p>
        </w:tc>
        <w:tc>
          <w:tcPr>
            <w:tcW w:type="dxa" w:w="1361"/>
            <w:vAlign w:val="center"/>
          </w:tcPr>
          <w:p>
            <w:pPr>
              <w:spacing w:after="0" w:before="0"/>
            </w:pPr>
            <w:r/>
            <w:r>
              <w:rPr>
                <w:b w:val="0"/>
                <w:sz w:val="13"/>
              </w:rPr>
              <w:t>95.79%</w:t>
            </w:r>
          </w:p>
        </w:tc>
      </w:tr>
    </w:tbl>
    <w:p>
      <w:pPr>
        <w:spacing w:after="100"/>
      </w:pPr>
      <w:r>
        <w:rPr>
          <w:b/>
        </w:rPr>
        <w:t xml:space="preserve">Aggregate result — </w:t>
      </w:r>
      <w:r>
        <w:t>Across 10 independent seeded runs (1,000,000 synthetic vectors total): mean P(S&gt;1)=89.5891% (SD 0.0800 percentage points); mean survival for σ&gt;0.8=47.3715% (SD 0.7527 pp; mean n=1847.7/run); mean rescue rate for T&gt;0.8 and ΔΦ&gt;2=93.9636% (SD 2.3568 pp; mean n=188.9/run).</w:t>
      </w:r>
    </w:p>
    <w:p>
      <w:pPr>
        <w:spacing w:after="100"/>
      </w:pPr>
      <w:r>
        <w:rPr>
          <w:b/>
        </w:rPr>
        <w:t xml:space="preserve">Certificate — </w:t>
      </w:r>
      <w:r>
        <w:t>REPRODUCED SIMULATION. The numerical behavior follows from the declared synthetic distributions and threshold. It demonstrates reproducibility of this generator/metric pipeline, not empirical validation that the same frequencies occur in natural, biological, social or AI systems.</w:t>
      </w:r>
    </w:p>
    <w:p>
      <w:pPr>
        <w:spacing w:after="100"/>
      </w:pPr>
      <w:r>
        <w:rPr>
          <w:b/>
        </w:rPr>
        <w:t xml:space="preserve">Replication artefact — </w:t>
      </w:r>
      <w:r>
        <w:t>Pass-6 local audit JSON: piton_pass6_replication.json. This file records seeds, sample sizes and aggregate statistics; it is an audit artefact created on 26 August 2026, not a historical Zoran source.</w:t>
      </w:r>
    </w:p>
    <w:p>
      <w:pPr>
        <w:pStyle w:val="Heading2"/>
        <w:keepNext/>
        <w:keepLines/>
      </w:pPr>
      <w:r>
        <w:t>37.2 Certificate P6-OMEGA-CODE-001 — Ω∞ distributed-falsification claims versus visible implementation</w:t>
      </w:r>
    </w:p>
    <w:tbl>
      <w:tblPr>
        <w:tblStyle w:val="TableGrid"/>
        <w:tblW w:type="auto" w:w="0"/>
        <w:jc w:val="center"/>
        <w:tblLayout w:type="autofit"/>
        <w:tblLook w:firstColumn="1" w:firstRow="1" w:lastColumn="0" w:lastRow="0" w:noHBand="0" w:noVBand="1" w:val="04A0"/>
      </w:tblPr>
      <w:tblGrid>
        <w:gridCol w:w="3250"/>
        <w:gridCol w:w="3250"/>
        <w:gridCol w:w="3250"/>
      </w:tblGrid>
      <w:tr>
        <w:trPr>
          <w:tblHeader w:val="true"/>
        </w:trPr>
        <w:tc>
          <w:tcPr>
            <w:tcW w:type="dxa" w:w="2268"/>
            <w:vAlign w:val="center"/>
            <w:shd w:fill="D9EAF7"/>
          </w:tcPr>
          <w:p>
            <w:pPr>
              <w:spacing w:after="0" w:before="0"/>
            </w:pPr>
            <w:r/>
            <w:r>
              <w:rPr>
                <w:b/>
                <w:sz w:val="14"/>
              </w:rPr>
              <w:t>Surface</w:t>
            </w:r>
          </w:p>
        </w:tc>
        <w:tc>
          <w:tcPr>
            <w:tcW w:type="dxa" w:w="5102"/>
            <w:vAlign w:val="center"/>
            <w:shd w:fill="D9EAF7"/>
          </w:tcPr>
          <w:p>
            <w:pPr>
              <w:spacing w:after="0" w:before="0"/>
            </w:pPr>
            <w:r/>
            <w:r>
              <w:rPr>
                <w:b/>
                <w:sz w:val="14"/>
              </w:rPr>
              <w:t>Observed object</w:t>
            </w:r>
          </w:p>
        </w:tc>
        <w:tc>
          <w:tcPr>
            <w:tcW w:type="dxa" w:w="2268"/>
            <w:vAlign w:val="center"/>
            <w:shd w:fill="D9EAF7"/>
          </w:tcPr>
          <w:p>
            <w:pPr>
              <w:spacing w:after="0" w:before="0"/>
            </w:pPr>
            <w:r/>
            <w:r>
              <w:rPr>
                <w:b/>
                <w:sz w:val="14"/>
              </w:rPr>
              <w:t>Pass-6 verdict</w:t>
            </w:r>
          </w:p>
        </w:tc>
      </w:tr>
      <w:tr>
        <w:trPr>
          <w:cantSplit/>
        </w:trPr>
        <w:tc>
          <w:tcPr>
            <w:tcW w:type="dxa" w:w="2268"/>
            <w:vAlign w:val="center"/>
          </w:tcPr>
          <w:p>
            <w:pPr>
              <w:spacing w:after="0" w:before="0"/>
            </w:pPr>
            <w:r/>
            <w:r>
              <w:rPr>
                <w:b w:val="0"/>
                <w:sz w:val="14"/>
              </w:rPr>
              <w:t>Public date/title</w:t>
            </w:r>
          </w:p>
        </w:tc>
        <w:tc>
          <w:tcPr>
            <w:tcW w:type="dxa" w:w="5102"/>
            <w:vAlign w:val="center"/>
          </w:tcPr>
          <w:p>
            <w:pPr>
              <w:spacing w:after="0" w:before="0"/>
            </w:pPr>
            <w:r/>
            <w:r>
              <w:rPr>
                <w:b w:val="0"/>
                <w:sz w:val="14"/>
              </w:rPr>
              <w:t>3 Dec 2025; “WHITEPAPER — PROTOCOLE DE FALSIFICATION DISTRIBUÉE”</w:t>
            </w:r>
          </w:p>
        </w:tc>
        <w:tc>
          <w:tcPr>
            <w:tcW w:type="dxa" w:w="2268"/>
            <w:vAlign w:val="center"/>
          </w:tcPr>
          <w:p>
            <w:pPr>
              <w:spacing w:after="0" w:before="0"/>
            </w:pPr>
            <w:r/>
            <w:r>
              <w:rPr>
                <w:b w:val="0"/>
                <w:sz w:val="14"/>
              </w:rPr>
              <w:t>VERIFIED Zenodo</w:t>
            </w:r>
          </w:p>
        </w:tc>
      </w:tr>
      <w:tr>
        <w:trPr>
          <w:cantSplit/>
        </w:trPr>
        <w:tc>
          <w:tcPr>
            <w:tcW w:type="dxa" w:w="2268"/>
            <w:vAlign w:val="center"/>
          </w:tcPr>
          <w:p>
            <w:pPr>
              <w:spacing w:after="0" w:before="0"/>
            </w:pPr>
            <w:r/>
            <w:r>
              <w:rPr>
                <w:b w:val="0"/>
                <w:sz w:val="14"/>
              </w:rPr>
              <w:t>Claimed target surface</w:t>
            </w:r>
          </w:p>
        </w:tc>
        <w:tc>
          <w:tcPr>
            <w:tcW w:type="dxa" w:w="5102"/>
            <w:vAlign w:val="center"/>
          </w:tcPr>
          <w:p>
            <w:pPr>
              <w:spacing w:after="0" w:before="0"/>
            </w:pPr>
            <w:r/>
            <w:r>
              <w:rPr>
                <w:b w:val="0"/>
                <w:sz w:val="14"/>
              </w:rPr>
              <w:t>PNT, Mertens, Goldbach, Riemann; &gt;10^15 operations/session; distributed swarm</w:t>
            </w:r>
          </w:p>
        </w:tc>
        <w:tc>
          <w:tcPr>
            <w:tcW w:type="dxa" w:w="2268"/>
            <w:vAlign w:val="center"/>
          </w:tcPr>
          <w:p>
            <w:pPr>
              <w:spacing w:after="0" w:before="0"/>
            </w:pPr>
            <w:r/>
            <w:r>
              <w:rPr>
                <w:b w:val="0"/>
                <w:sz w:val="14"/>
              </w:rPr>
              <w:t>DOCUMENT CLAIM</w:t>
            </w:r>
          </w:p>
        </w:tc>
      </w:tr>
      <w:tr>
        <w:trPr>
          <w:cantSplit/>
        </w:trPr>
        <w:tc>
          <w:tcPr>
            <w:tcW w:type="dxa" w:w="2268"/>
            <w:vAlign w:val="center"/>
          </w:tcPr>
          <w:p>
            <w:pPr>
              <w:spacing w:after="0" w:before="0"/>
            </w:pPr>
            <w:r/>
            <w:r>
              <w:rPr>
                <w:b w:val="0"/>
                <w:sz w:val="14"/>
              </w:rPr>
              <w:t>Visible executed main</w:t>
            </w:r>
          </w:p>
        </w:tc>
        <w:tc>
          <w:tcPr>
            <w:tcW w:type="dxa" w:w="5102"/>
            <w:vAlign w:val="center"/>
          </w:tcPr>
          <w:p>
            <w:pPr>
              <w:spacing w:after="0" w:before="0"/>
            </w:pPr>
            <w:r/>
            <w:r>
              <w:rPr>
                <w:b w:val="0"/>
                <w:sz w:val="14"/>
              </w:rPr>
              <w:t>initialize_sector(); run_mertens_check(); run_goldbach_probe(); generate_report()</w:t>
            </w:r>
          </w:p>
        </w:tc>
        <w:tc>
          <w:tcPr>
            <w:tcW w:type="dxa" w:w="2268"/>
            <w:vAlign w:val="center"/>
          </w:tcPr>
          <w:p>
            <w:pPr>
              <w:spacing w:after="0" w:before="0"/>
            </w:pPr>
            <w:r/>
            <w:r>
              <w:rPr>
                <w:b w:val="0"/>
                <w:sz w:val="14"/>
              </w:rPr>
              <w:t>VERIFIED CODE PATH</w:t>
            </w:r>
          </w:p>
        </w:tc>
      </w:tr>
      <w:tr>
        <w:trPr>
          <w:cantSplit/>
        </w:trPr>
        <w:tc>
          <w:tcPr>
            <w:tcW w:type="dxa" w:w="2268"/>
            <w:vAlign w:val="center"/>
          </w:tcPr>
          <w:p>
            <w:pPr>
              <w:spacing w:after="0" w:before="0"/>
            </w:pPr>
            <w:r/>
            <w:r>
              <w:rPr>
                <w:b w:val="0"/>
                <w:sz w:val="14"/>
              </w:rPr>
              <w:t>Mertens implementation</w:t>
            </w:r>
          </w:p>
        </w:tc>
        <w:tc>
          <w:tcPr>
            <w:tcW w:type="dxa" w:w="5102"/>
            <w:vAlign w:val="center"/>
          </w:tcPr>
          <w:p>
            <w:pPr>
              <w:spacing w:after="0" w:before="0"/>
            </w:pPr>
            <w:r/>
            <w:r>
              <w:rPr>
                <w:b w:val="0"/>
                <w:sz w:val="14"/>
              </w:rPr>
              <w:t>Computes μ on one block; uses local_sum and threshold 2√high. It does not reconstruct global M(x)=Σ_{n≤x} μ(n).</w:t>
            </w:r>
          </w:p>
        </w:tc>
        <w:tc>
          <w:tcPr>
            <w:tcW w:type="dxa" w:w="2268"/>
            <w:vAlign w:val="center"/>
          </w:tcPr>
          <w:p>
            <w:pPr>
              <w:spacing w:after="0" w:before="0"/>
            </w:pPr>
            <w:r/>
            <w:r>
              <w:rPr>
                <w:b w:val="0"/>
                <w:sz w:val="14"/>
              </w:rPr>
              <w:t>LIMIT / NON-EQUIVALENCE</w:t>
            </w:r>
          </w:p>
        </w:tc>
      </w:tr>
      <w:tr>
        <w:trPr>
          <w:cantSplit/>
        </w:trPr>
        <w:tc>
          <w:tcPr>
            <w:tcW w:type="dxa" w:w="2268"/>
            <w:vAlign w:val="center"/>
          </w:tcPr>
          <w:p>
            <w:pPr>
              <w:spacing w:after="0" w:before="0"/>
            </w:pPr>
            <w:r/>
            <w:r>
              <w:rPr>
                <w:b w:val="0"/>
                <w:sz w:val="14"/>
              </w:rPr>
              <w:t>Goldbach implementation</w:t>
            </w:r>
          </w:p>
        </w:tc>
        <w:tc>
          <w:tcPr>
            <w:tcW w:type="dxa" w:w="5102"/>
            <w:vAlign w:val="center"/>
          </w:tcPr>
          <w:p>
            <w:pPr>
              <w:spacing w:after="0" w:before="0"/>
            </w:pPr>
            <w:r/>
            <w:r>
              <w:rPr>
                <w:b w:val="0"/>
                <w:sz w:val="14"/>
              </w:rPr>
              <w:t>Samples 50 even targets; checks at most the first 1,000 cached primes before Miller–Rabin on the remainder.</w:t>
            </w:r>
          </w:p>
        </w:tc>
        <w:tc>
          <w:tcPr>
            <w:tcW w:type="dxa" w:w="2268"/>
            <w:vAlign w:val="center"/>
          </w:tcPr>
          <w:p>
            <w:pPr>
              <w:spacing w:after="0" w:before="0"/>
            </w:pPr>
            <w:r/>
            <w:r>
              <w:rPr>
                <w:b w:val="0"/>
                <w:sz w:val="14"/>
              </w:rPr>
              <w:t>PROBABILISTIC/LIMITED PROBE</w:t>
            </w:r>
          </w:p>
        </w:tc>
      </w:tr>
      <w:tr>
        <w:trPr>
          <w:cantSplit/>
        </w:trPr>
        <w:tc>
          <w:tcPr>
            <w:tcW w:type="dxa" w:w="2268"/>
            <w:vAlign w:val="center"/>
          </w:tcPr>
          <w:p>
            <w:pPr>
              <w:spacing w:after="0" w:before="0"/>
            </w:pPr>
            <w:r/>
            <w:r>
              <w:rPr>
                <w:b w:val="0"/>
                <w:sz w:val="14"/>
              </w:rPr>
              <w:t>PNT implementation in main</w:t>
            </w:r>
          </w:p>
        </w:tc>
        <w:tc>
          <w:tcPr>
            <w:tcW w:type="dxa" w:w="5102"/>
            <w:vAlign w:val="center"/>
          </w:tcPr>
          <w:p>
            <w:pPr>
              <w:spacing w:after="0" w:before="0"/>
            </w:pPr>
            <w:r/>
            <w:r>
              <w:rPr>
                <w:b w:val="0"/>
                <w:sz w:val="14"/>
              </w:rPr>
              <w:t>No PNT routine is invoked by the visible main path.</w:t>
            </w:r>
          </w:p>
        </w:tc>
        <w:tc>
          <w:tcPr>
            <w:tcW w:type="dxa" w:w="2268"/>
            <w:vAlign w:val="center"/>
          </w:tcPr>
          <w:p>
            <w:pPr>
              <w:spacing w:after="0" w:before="0"/>
            </w:pPr>
            <w:r/>
            <w:r>
              <w:rPr>
                <w:b w:val="0"/>
                <w:sz w:val="14"/>
              </w:rPr>
              <w:t>NOT IMPLEMENTED IN VISIBLE MAIN</w:t>
            </w:r>
          </w:p>
        </w:tc>
      </w:tr>
      <w:tr>
        <w:trPr>
          <w:cantSplit/>
        </w:trPr>
        <w:tc>
          <w:tcPr>
            <w:tcW w:type="dxa" w:w="2268"/>
            <w:vAlign w:val="center"/>
          </w:tcPr>
          <w:p>
            <w:pPr>
              <w:spacing w:after="0" w:before="0"/>
            </w:pPr>
            <w:r/>
            <w:r>
              <w:rPr>
                <w:b w:val="0"/>
                <w:sz w:val="14"/>
              </w:rPr>
              <w:t>Riemann implementation in main</w:t>
            </w:r>
          </w:p>
        </w:tc>
        <w:tc>
          <w:tcPr>
            <w:tcW w:type="dxa" w:w="5102"/>
            <w:vAlign w:val="center"/>
          </w:tcPr>
          <w:p>
            <w:pPr>
              <w:spacing w:after="0" w:before="0"/>
            </w:pPr>
            <w:r/>
            <w:r>
              <w:rPr>
                <w:b w:val="0"/>
                <w:sz w:val="14"/>
              </w:rPr>
              <w:t>No direct RH routine is invoked by the visible main path.</w:t>
            </w:r>
          </w:p>
        </w:tc>
        <w:tc>
          <w:tcPr>
            <w:tcW w:type="dxa" w:w="2268"/>
            <w:vAlign w:val="center"/>
          </w:tcPr>
          <w:p>
            <w:pPr>
              <w:spacing w:after="0" w:before="0"/>
            </w:pPr>
            <w:r/>
            <w:r>
              <w:rPr>
                <w:b w:val="0"/>
                <w:sz w:val="14"/>
              </w:rPr>
              <w:t>NOT IMPLEMENTED IN VISIBLE MAIN</w:t>
            </w:r>
          </w:p>
        </w:tc>
      </w:tr>
      <w:tr>
        <w:trPr>
          <w:cantSplit/>
        </w:trPr>
        <w:tc>
          <w:tcPr>
            <w:tcW w:type="dxa" w:w="2268"/>
            <w:vAlign w:val="center"/>
          </w:tcPr>
          <w:p>
            <w:pPr>
              <w:spacing w:after="0" w:before="0"/>
            </w:pPr>
            <w:r/>
            <w:r>
              <w:rPr>
                <w:b w:val="0"/>
                <w:sz w:val="14"/>
              </w:rPr>
              <w:t>Proof-of-computation claim</w:t>
            </w:r>
          </w:p>
        </w:tc>
        <w:tc>
          <w:tcPr>
            <w:tcW w:type="dxa" w:w="5102"/>
            <w:vAlign w:val="center"/>
          </w:tcPr>
          <w:p>
            <w:pPr>
              <w:spacing w:after="0" w:before="0"/>
            </w:pPr>
            <w:r/>
            <w:r>
              <w:rPr>
                <w:b w:val="0"/>
                <w:sz w:val="14"/>
              </w:rPr>
              <w:t>Prose says raw values + intermediate processor states; visible generate_report hash concatenates local_sum_mu and samples_tested fields.</w:t>
            </w:r>
          </w:p>
        </w:tc>
        <w:tc>
          <w:tcPr>
            <w:tcW w:type="dxa" w:w="2268"/>
            <w:vAlign w:val="center"/>
          </w:tcPr>
          <w:p>
            <w:pPr>
              <w:spacing w:after="0" w:before="0"/>
            </w:pPr>
            <w:r/>
            <w:r>
              <w:rPr>
                <w:b w:val="0"/>
                <w:sz w:val="14"/>
              </w:rPr>
              <w:t>CLAIM &gt; IMPLEMENTATION</w:t>
            </w:r>
          </w:p>
        </w:tc>
      </w:tr>
      <w:tr>
        <w:trPr>
          <w:cantSplit/>
        </w:trPr>
        <w:tc>
          <w:tcPr>
            <w:tcW w:type="dxa" w:w="2268"/>
            <w:vAlign w:val="center"/>
          </w:tcPr>
          <w:p>
            <w:pPr>
              <w:spacing w:after="0" w:before="0"/>
            </w:pPr>
            <w:r/>
            <w:r>
              <w:rPr>
                <w:b w:val="0"/>
                <w:sz w:val="14"/>
              </w:rPr>
              <w:t>Network/consensus</w:t>
            </w:r>
          </w:p>
        </w:tc>
        <w:tc>
          <w:tcPr>
            <w:tcW w:type="dxa" w:w="5102"/>
            <w:vAlign w:val="center"/>
          </w:tcPr>
          <w:p>
            <w:pPr>
              <w:spacing w:after="0" w:before="0"/>
            </w:pPr>
            <w:r/>
            <w:r>
              <w:rPr>
                <w:b w:val="0"/>
                <w:sz w:val="14"/>
              </w:rPr>
              <w:t>Per-node entropy-derived sector exists; no coordinator, deduplication, peer consensus or distributed transport is visible in the embedded main.</w:t>
            </w:r>
          </w:p>
        </w:tc>
        <w:tc>
          <w:tcPr>
            <w:tcW w:type="dxa" w:w="2268"/>
            <w:vAlign w:val="center"/>
          </w:tcPr>
          <w:p>
            <w:pPr>
              <w:spacing w:after="0" w:before="0"/>
            </w:pPr>
            <w:r/>
            <w:r>
              <w:rPr>
                <w:b w:val="0"/>
                <w:sz w:val="14"/>
              </w:rPr>
              <w:t>ARCHITECTURE CLAIM NOT REPRODUCED</w:t>
            </w:r>
          </w:p>
        </w:tc>
      </w:tr>
      <w:tr>
        <w:trPr>
          <w:cantSplit/>
        </w:trPr>
        <w:tc>
          <w:tcPr>
            <w:tcW w:type="dxa" w:w="2268"/>
            <w:vAlign w:val="center"/>
          </w:tcPr>
          <w:p>
            <w:pPr>
              <w:spacing w:after="0" w:before="0"/>
            </w:pPr>
            <w:r/>
            <w:r>
              <w:rPr>
                <w:b w:val="0"/>
                <w:sz w:val="14"/>
              </w:rPr>
              <w:t>Licence</w:t>
            </w:r>
          </w:p>
        </w:tc>
        <w:tc>
          <w:tcPr>
            <w:tcW w:type="dxa" w:w="5102"/>
            <w:vAlign w:val="center"/>
          </w:tcPr>
          <w:p>
            <w:pPr>
              <w:spacing w:after="0" w:before="0"/>
            </w:pPr>
            <w:r/>
            <w:r>
              <w:rPr>
                <w:b w:val="0"/>
                <w:sz w:val="14"/>
              </w:rPr>
              <w:t>Document body states MIT; Zenodo Rights field has no machine-readable licence value.</w:t>
            </w:r>
          </w:p>
        </w:tc>
        <w:tc>
          <w:tcPr>
            <w:tcW w:type="dxa" w:w="2268"/>
            <w:vAlign w:val="center"/>
          </w:tcPr>
          <w:p>
            <w:pPr>
              <w:spacing w:after="0" w:before="0"/>
            </w:pPr>
            <w:r/>
            <w:r>
              <w:rPr>
                <w:b w:val="0"/>
                <w:sz w:val="14"/>
              </w:rPr>
              <w:t>METADATA/CONTENT MISMATCH</w:t>
            </w:r>
          </w:p>
        </w:tc>
      </w:tr>
    </w:tbl>
    <w:p>
      <w:pPr>
        <w:spacing w:after="100"/>
      </w:pPr>
      <w:r>
        <w:rPr>
          <w:b/>
        </w:rPr>
        <w:t xml:space="preserve">Conclusion — </w:t>
      </w:r>
      <w:r>
        <w:t>The artefact is creditable as an executable-paper prototype and falsification attempt. It must not be cited as having falsified or verified Mertens, Goldbach, PNT or Riemann, nor as a demonstrated global distributed network. “Violation” in the limited Goldbach probe is a candidate for follow-up, not a mathematical counterexample certificate.</w:t>
      </w:r>
    </w:p>
    <w:p>
      <w:pPr>
        <w:pStyle w:val="Heading2"/>
        <w:keepNext/>
        <w:keepLines/>
      </w:pPr>
      <w:r>
        <w:t>37.3 Certificate P6-OUTONLY-SPEC-001 — output-only admissibility is a formal test specification</w:t>
      </w:r>
    </w:p>
    <w:p>
      <w:pPr>
        <w:spacing w:after="100"/>
      </w:pPr>
      <w:r>
        <w:rPr>
          <w:b/>
        </w:rPr>
        <w:t xml:space="preserve">Verified structure — </w:t>
      </w:r>
      <w:r>
        <w:t>DOI 18500363 declares A1 output-only evaluation; A2 a projection π:𝒪→𝒮 extracting roles/relations/asymmetries/agency constraints; A3 inadmissible structure classes; A4 monotonicity under structure-preserving extension; and A5 REFUSE under non-zero ambiguity. Its canonical suite defines direct, lexical-neutralization, stereotyping, irreversible-dominance, ambiguity and fresh-session checks.</w:t>
      </w:r>
    </w:p>
    <w:p>
      <w:pPr>
        <w:spacing w:after="100"/>
      </w:pPr>
      <w:r>
        <w:rPr>
          <w:b/>
        </w:rPr>
        <w:t xml:space="preserve">Operational gap — </w:t>
      </w:r>
      <w:r>
        <w:t>In the inspected public Markdown, π and the ambiguity measure μ are not uniquely executable functions with a benchmarked parser/evaluator. Therefore the tests specify what a conforming implementation should decide, but do not alone demonstrate that arbitrary reformulations or resets cannot evade every implementation.</w:t>
      </w:r>
    </w:p>
    <w:p>
      <w:pPr>
        <w:spacing w:after="100"/>
      </w:pPr>
      <w:r>
        <w:rPr>
          <w:b/>
        </w:rPr>
        <w:t xml:space="preserve">Allowed conclusion — </w:t>
      </w:r>
      <w:r>
        <w:t>A formal output-only safety/admissibility specification with falsifiable examples exists publicly by 5 February 2026. Universal “non-circumventability” remains an empirical/security claim requiring adversarial coverage, independent implementations and measured false-accept/false-refuse rates.</w:t>
      </w:r>
    </w:p>
    <w:p>
      <w:pPr>
        <w:pStyle w:val="Heading1"/>
        <w:keepNext/>
        <w:keepLines/>
      </w:pPr>
      <w:r>
        <w:t>38. Priority-sensitive metadata reconciliation</w:t>
      </w:r>
    </w:p>
    <w:tbl>
      <w:tblPr>
        <w:tblStyle w:val="TableGrid"/>
        <w:tblW w:type="auto" w:w="0"/>
        <w:jc w:val="center"/>
        <w:tblLayout w:type="autofit"/>
        <w:tblLook w:firstColumn="1" w:firstRow="1" w:lastColumn="0" w:lastRow="0" w:noHBand="0" w:noVBand="1" w:val="04A0"/>
      </w:tblPr>
      <w:tblGrid>
        <w:gridCol w:w="1625"/>
        <w:gridCol w:w="1625"/>
        <w:gridCol w:w="1625"/>
        <w:gridCol w:w="1625"/>
        <w:gridCol w:w="1625"/>
        <w:gridCol w:w="1625"/>
      </w:tblGrid>
      <w:tr>
        <w:trPr>
          <w:tblHeader w:val="true"/>
        </w:trPr>
        <w:tc>
          <w:tcPr>
            <w:tcW w:type="dxa" w:w="1134"/>
            <w:vAlign w:val="center"/>
            <w:shd w:fill="D9EAF7"/>
          </w:tcPr>
          <w:p>
            <w:pPr>
              <w:spacing w:after="0" w:before="0"/>
            </w:pPr>
            <w:r/>
            <w:r>
              <w:rPr>
                <w:b/>
                <w:sz w:val="13"/>
              </w:rPr>
              <w:t>DOI suffix</w:t>
            </w:r>
          </w:p>
        </w:tc>
        <w:tc>
          <w:tcPr>
            <w:tcW w:type="dxa" w:w="1531"/>
            <w:vAlign w:val="center"/>
            <w:shd w:fill="D9EAF7"/>
          </w:tcPr>
          <w:p>
            <w:pPr>
              <w:spacing w:after="0" w:before="0"/>
            </w:pPr>
            <w:r/>
            <w:r>
              <w:rPr>
                <w:b/>
                <w:sz w:val="13"/>
              </w:rPr>
              <w:t>Public date</w:t>
            </w:r>
          </w:p>
        </w:tc>
        <w:tc>
          <w:tcPr>
            <w:tcW w:type="dxa" w:w="4422"/>
            <w:vAlign w:val="center"/>
            <w:shd w:fill="D9EAF7"/>
          </w:tcPr>
          <w:p>
            <w:pPr>
              <w:spacing w:after="0" w:before="0"/>
            </w:pPr>
            <w:r/>
            <w:r>
              <w:rPr>
                <w:b/>
                <w:sz w:val="13"/>
              </w:rPr>
              <w:t>Observed / competing title</w:t>
            </w:r>
          </w:p>
        </w:tc>
        <w:tc>
          <w:tcPr>
            <w:tcW w:type="dxa" w:w="1361"/>
            <w:vAlign w:val="center"/>
            <w:shd w:fill="D9EAF7"/>
          </w:tcPr>
          <w:p>
            <w:pPr>
              <w:spacing w:after="0" w:before="0"/>
            </w:pPr>
            <w:r/>
            <w:r>
              <w:rPr>
                <w:b/>
                <w:sz w:val="13"/>
              </w:rPr>
              <w:t>Type</w:t>
            </w:r>
          </w:p>
        </w:tc>
        <w:tc>
          <w:tcPr>
            <w:tcW w:type="dxa" w:w="2438"/>
            <w:vAlign w:val="center"/>
            <w:shd w:fill="D9EAF7"/>
          </w:tcPr>
          <w:p>
            <w:pPr>
              <w:spacing w:after="0" w:before="0"/>
            </w:pPr>
            <w:r/>
            <w:r>
              <w:rPr>
                <w:b/>
                <w:sz w:val="13"/>
              </w:rPr>
              <w:t>Rights/licence</w:t>
            </w:r>
          </w:p>
        </w:tc>
        <w:tc>
          <w:tcPr>
            <w:tcW w:type="dxa" w:w="2041"/>
            <w:vAlign w:val="center"/>
            <w:shd w:fill="D9EAF7"/>
          </w:tcPr>
          <w:p>
            <w:pPr>
              <w:spacing w:after="0" w:before="0"/>
            </w:pPr>
            <w:r/>
            <w:r>
              <w:rPr>
                <w:b/>
                <w:sz w:val="13"/>
              </w:rPr>
              <w:t>Pass-6 status</w:t>
            </w:r>
          </w:p>
        </w:tc>
      </w:tr>
      <w:tr>
        <w:trPr>
          <w:cantSplit/>
        </w:trPr>
        <w:tc>
          <w:tcPr>
            <w:tcW w:type="dxa" w:w="1134"/>
            <w:vAlign w:val="center"/>
          </w:tcPr>
          <w:p>
            <w:pPr>
              <w:spacing w:after="0" w:before="0"/>
            </w:pPr>
            <w:r/>
            <w:r>
              <w:rPr>
                <w:b w:val="0"/>
                <w:sz w:val="13"/>
              </w:rPr>
              <w:t>17804030</w:t>
            </w:r>
          </w:p>
        </w:tc>
        <w:tc>
          <w:tcPr>
            <w:tcW w:type="dxa" w:w="1531"/>
            <w:vAlign w:val="center"/>
          </w:tcPr>
          <w:p>
            <w:pPr>
              <w:spacing w:after="0" w:before="0"/>
            </w:pPr>
            <w:r/>
            <w:r>
              <w:rPr>
                <w:b w:val="0"/>
                <w:sz w:val="13"/>
              </w:rPr>
              <w:t>3 Dec 2025</w:t>
            </w:r>
          </w:p>
        </w:tc>
        <w:tc>
          <w:tcPr>
            <w:tcW w:type="dxa" w:w="4422"/>
            <w:vAlign w:val="center"/>
          </w:tcPr>
          <w:p>
            <w:pPr>
              <w:spacing w:after="0" w:before="0"/>
            </w:pPr>
            <w:r/>
            <w:r>
              <w:rPr>
                <w:b w:val="0"/>
                <w:sz w:val="13"/>
              </w:rPr>
              <w:t>WHITEPAPER — PROTOCOLE DE FALSIFICATION DISTRIBUÉE</w:t>
            </w:r>
          </w:p>
        </w:tc>
        <w:tc>
          <w:tcPr>
            <w:tcW w:type="dxa" w:w="1361"/>
            <w:vAlign w:val="center"/>
          </w:tcPr>
          <w:p>
            <w:pPr>
              <w:spacing w:after="0" w:before="0"/>
            </w:pPr>
            <w:r/>
            <w:r>
              <w:rPr>
                <w:b w:val="0"/>
                <w:sz w:val="13"/>
              </w:rPr>
              <w:t>Report</w:t>
            </w:r>
          </w:p>
        </w:tc>
        <w:tc>
          <w:tcPr>
            <w:tcW w:type="dxa" w:w="2438"/>
            <w:vAlign w:val="center"/>
          </w:tcPr>
          <w:p>
            <w:pPr>
              <w:spacing w:after="0" w:before="0"/>
            </w:pPr>
            <w:r/>
            <w:r>
              <w:rPr>
                <w:b w:val="0"/>
                <w:sz w:val="13"/>
              </w:rPr>
              <w:t>Zenodo licence field blank; body says MIT</w:t>
            </w:r>
          </w:p>
        </w:tc>
        <w:tc>
          <w:tcPr>
            <w:tcW w:type="dxa" w:w="2041"/>
            <w:vAlign w:val="center"/>
          </w:tcPr>
          <w:p>
            <w:pPr>
              <w:spacing w:after="0" w:before="0"/>
            </w:pPr>
            <w:r/>
            <w:r>
              <w:rPr>
                <w:b w:val="0"/>
                <w:sz w:val="13"/>
              </w:rPr>
              <w:t>DATE/TITLE VERIFIED; LICENCE MISMATCH</w:t>
            </w:r>
          </w:p>
        </w:tc>
      </w:tr>
      <w:tr>
        <w:trPr>
          <w:cantSplit/>
        </w:trPr>
        <w:tc>
          <w:tcPr>
            <w:tcW w:type="dxa" w:w="1134"/>
            <w:vAlign w:val="center"/>
          </w:tcPr>
          <w:p>
            <w:pPr>
              <w:spacing w:after="0" w:before="0"/>
            </w:pPr>
            <w:r/>
            <w:r>
              <w:rPr>
                <w:b w:val="0"/>
                <w:sz w:val="13"/>
              </w:rPr>
              <w:t>18497598</w:t>
            </w:r>
          </w:p>
        </w:tc>
        <w:tc>
          <w:tcPr>
            <w:tcW w:type="dxa" w:w="1531"/>
            <w:vAlign w:val="center"/>
          </w:tcPr>
          <w:p>
            <w:pPr>
              <w:spacing w:after="0" w:before="0"/>
            </w:pPr>
            <w:r/>
            <w:r>
              <w:rPr>
                <w:b w:val="0"/>
                <w:sz w:val="13"/>
              </w:rPr>
              <w:t>5 Feb 2026</w:t>
            </w:r>
          </w:p>
        </w:tc>
        <w:tc>
          <w:tcPr>
            <w:tcW w:type="dxa" w:w="4422"/>
            <w:vAlign w:val="center"/>
          </w:tcPr>
          <w:p>
            <w:pPr>
              <w:spacing w:after="0" w:before="0"/>
            </w:pPr>
            <w:r/>
            <w:r>
              <w:rPr>
                <w:b w:val="0"/>
                <w:sz w:val="13"/>
              </w:rPr>
              <w:t>La falsification devient possible maintenant, grâce aux LLM — mais seulement si on les utilise correctement.</w:t>
            </w:r>
          </w:p>
        </w:tc>
        <w:tc>
          <w:tcPr>
            <w:tcW w:type="dxa" w:w="1361"/>
            <w:vAlign w:val="center"/>
          </w:tcPr>
          <w:p>
            <w:pPr>
              <w:spacing w:after="0" w:before="0"/>
            </w:pPr>
            <w:r/>
            <w:r>
              <w:rPr>
                <w:b w:val="0"/>
                <w:sz w:val="13"/>
              </w:rPr>
              <w:t>Report</w:t>
            </w:r>
          </w:p>
        </w:tc>
        <w:tc>
          <w:tcPr>
            <w:tcW w:type="dxa" w:w="2438"/>
            <w:vAlign w:val="center"/>
          </w:tcPr>
          <w:p>
            <w:pPr>
              <w:spacing w:after="0" w:before="0"/>
            </w:pPr>
            <w:r/>
            <w:r>
              <w:rPr>
                <w:b w:val="0"/>
                <w:sz w:val="13"/>
              </w:rPr>
              <w:t>Zenodo licence field blank</w:t>
            </w:r>
          </w:p>
        </w:tc>
        <w:tc>
          <w:tcPr>
            <w:tcW w:type="dxa" w:w="2041"/>
            <w:vAlign w:val="center"/>
          </w:tcPr>
          <w:p>
            <w:pPr>
              <w:spacing w:after="0" w:before="0"/>
            </w:pPr>
            <w:r/>
            <w:r>
              <w:rPr>
                <w:b w:val="0"/>
                <w:sz w:val="13"/>
              </w:rPr>
              <w:t>VERIFIED; LICENCE NON_MESURÉ</w:t>
            </w:r>
          </w:p>
        </w:tc>
      </w:tr>
      <w:tr>
        <w:trPr>
          <w:cantSplit/>
        </w:trPr>
        <w:tc>
          <w:tcPr>
            <w:tcW w:type="dxa" w:w="1134"/>
            <w:vAlign w:val="center"/>
          </w:tcPr>
          <w:p>
            <w:pPr>
              <w:spacing w:after="0" w:before="0"/>
            </w:pPr>
            <w:r/>
            <w:r>
              <w:rPr>
                <w:b w:val="0"/>
                <w:sz w:val="13"/>
              </w:rPr>
              <w:t>18499943</w:t>
            </w:r>
          </w:p>
        </w:tc>
        <w:tc>
          <w:tcPr>
            <w:tcW w:type="dxa" w:w="1531"/>
            <w:vAlign w:val="center"/>
          </w:tcPr>
          <w:p>
            <w:pPr>
              <w:spacing w:after="0" w:before="0"/>
            </w:pPr>
            <w:r/>
            <w:r>
              <w:rPr>
                <w:b w:val="0"/>
                <w:sz w:val="13"/>
              </w:rPr>
              <w:t>5 Feb 2026</w:t>
            </w:r>
          </w:p>
        </w:tc>
        <w:tc>
          <w:tcPr>
            <w:tcW w:type="dxa" w:w="4422"/>
            <w:vAlign w:val="center"/>
          </w:tcPr>
          <w:p>
            <w:pPr>
              <w:spacing w:after="0" w:before="0"/>
            </w:pPr>
            <w:r/>
            <w:r>
              <w:rPr>
                <w:b w:val="0"/>
                <w:sz w:val="13"/>
              </w:rPr>
              <w:t>IA scientifique : Formulation, test et implémentation d’une contrainte de cohérence applicable à la production scientifique assistée par IA</w:t>
            </w:r>
          </w:p>
        </w:tc>
        <w:tc>
          <w:tcPr>
            <w:tcW w:type="dxa" w:w="1361"/>
            <w:vAlign w:val="center"/>
          </w:tcPr>
          <w:p>
            <w:pPr>
              <w:spacing w:after="0" w:before="0"/>
            </w:pPr>
            <w:r/>
            <w:r>
              <w:rPr>
                <w:b w:val="0"/>
                <w:sz w:val="13"/>
              </w:rPr>
              <w:t>Software documentation</w:t>
            </w:r>
          </w:p>
        </w:tc>
        <w:tc>
          <w:tcPr>
            <w:tcW w:type="dxa" w:w="2438"/>
            <w:vAlign w:val="center"/>
          </w:tcPr>
          <w:p>
            <w:pPr>
              <w:spacing w:after="0" w:before="0"/>
            </w:pPr>
            <w:r/>
            <w:r>
              <w:rPr>
                <w:b w:val="0"/>
                <w:sz w:val="13"/>
              </w:rPr>
              <w:t>Zenodo CC BY 4.0; body says Creative-Ethic BY/BY-PRO</w:t>
            </w:r>
          </w:p>
        </w:tc>
        <w:tc>
          <w:tcPr>
            <w:tcW w:type="dxa" w:w="2041"/>
            <w:vAlign w:val="center"/>
          </w:tcPr>
          <w:p>
            <w:pPr>
              <w:spacing w:after="0" w:before="0"/>
            </w:pPr>
            <w:r/>
            <w:r>
              <w:rPr>
                <w:b w:val="0"/>
                <w:sz w:val="13"/>
              </w:rPr>
              <w:t>BLOCKING LICENCE CONFLICT</w:t>
            </w:r>
          </w:p>
        </w:tc>
      </w:tr>
      <w:tr>
        <w:trPr>
          <w:cantSplit/>
        </w:trPr>
        <w:tc>
          <w:tcPr>
            <w:tcW w:type="dxa" w:w="1134"/>
            <w:vAlign w:val="center"/>
          </w:tcPr>
          <w:p>
            <w:pPr>
              <w:spacing w:after="0" w:before="0"/>
            </w:pPr>
            <w:r/>
            <w:r>
              <w:rPr>
                <w:b w:val="0"/>
                <w:sz w:val="13"/>
              </w:rPr>
              <w:t>18500363</w:t>
            </w:r>
          </w:p>
        </w:tc>
        <w:tc>
          <w:tcPr>
            <w:tcW w:type="dxa" w:w="1531"/>
            <w:vAlign w:val="center"/>
          </w:tcPr>
          <w:p>
            <w:pPr>
              <w:spacing w:after="0" w:before="0"/>
            </w:pPr>
            <w:r/>
            <w:r>
              <w:rPr>
                <w:b w:val="0"/>
                <w:sz w:val="13"/>
              </w:rPr>
              <w:t>5 Feb 2026</w:t>
            </w:r>
          </w:p>
        </w:tc>
        <w:tc>
          <w:tcPr>
            <w:tcW w:type="dxa" w:w="4422"/>
            <w:vAlign w:val="center"/>
          </w:tcPr>
          <w:p>
            <w:pPr>
              <w:spacing w:after="0" w:before="0"/>
            </w:pPr>
            <w:r/>
            <w:r>
              <w:rPr>
                <w:b w:val="0"/>
                <w:sz w:val="13"/>
              </w:rPr>
              <w:t>Admissibilité structurelle des sorties d’IA — Un cadre sortie-only fondé sur la cohérence, non contournable par reformulation ou reset</w:t>
            </w:r>
          </w:p>
        </w:tc>
        <w:tc>
          <w:tcPr>
            <w:tcW w:type="dxa" w:w="1361"/>
            <w:vAlign w:val="center"/>
          </w:tcPr>
          <w:p>
            <w:pPr>
              <w:spacing w:after="0" w:before="0"/>
            </w:pPr>
            <w:r/>
            <w:r>
              <w:rPr>
                <w:b w:val="0"/>
                <w:sz w:val="13"/>
              </w:rPr>
              <w:t>Report</w:t>
            </w:r>
          </w:p>
        </w:tc>
        <w:tc>
          <w:tcPr>
            <w:tcW w:type="dxa" w:w="2438"/>
            <w:vAlign w:val="center"/>
          </w:tcPr>
          <w:p>
            <w:pPr>
              <w:spacing w:after="0" w:before="0"/>
            </w:pPr>
            <w:r/>
            <w:r>
              <w:rPr>
                <w:b w:val="0"/>
                <w:sz w:val="13"/>
              </w:rPr>
              <w:t>Zenodo CC BY 4.0</w:t>
            </w:r>
          </w:p>
        </w:tc>
        <w:tc>
          <w:tcPr>
            <w:tcW w:type="dxa" w:w="2041"/>
            <w:vAlign w:val="center"/>
          </w:tcPr>
          <w:p>
            <w:pPr>
              <w:spacing w:after="0" w:before="0"/>
            </w:pPr>
            <w:r/>
            <w:r>
              <w:rPr>
                <w:b w:val="0"/>
                <w:sz w:val="13"/>
              </w:rPr>
              <w:t>VERIFIED</w:t>
            </w:r>
          </w:p>
        </w:tc>
      </w:tr>
      <w:tr>
        <w:trPr>
          <w:cantSplit/>
        </w:trPr>
        <w:tc>
          <w:tcPr>
            <w:tcW w:type="dxa" w:w="1134"/>
            <w:vAlign w:val="center"/>
          </w:tcPr>
          <w:p>
            <w:pPr>
              <w:spacing w:after="0" w:before="0"/>
            </w:pPr>
            <w:r/>
            <w:r>
              <w:rPr>
                <w:b w:val="0"/>
                <w:sz w:val="13"/>
              </w:rPr>
              <w:t>18526755</w:t>
            </w:r>
          </w:p>
        </w:tc>
        <w:tc>
          <w:tcPr>
            <w:tcW w:type="dxa" w:w="1531"/>
            <w:vAlign w:val="center"/>
          </w:tcPr>
          <w:p>
            <w:pPr>
              <w:spacing w:after="0" w:before="0"/>
            </w:pPr>
            <w:r/>
            <w:r>
              <w:rPr>
                <w:b w:val="0"/>
                <w:sz w:val="13"/>
              </w:rPr>
              <w:t>NON_MESURÉ in direct Zenodo fetch</w:t>
            </w:r>
          </w:p>
        </w:tc>
        <w:tc>
          <w:tcPr>
            <w:tcW w:type="dxa" w:w="4422"/>
            <w:vAlign w:val="center"/>
          </w:tcPr>
          <w:p>
            <w:pPr>
              <w:spacing w:after="0" w:before="0"/>
            </w:pPr>
            <w:r/>
            <w:r>
              <w:rPr>
                <w:b w:val="0"/>
                <w:sz w:val="13"/>
              </w:rPr>
              <w:t>Current mirror: “Tenseur d’Amari-Chentsov et saturation MCP”; current canonical corpus map: “Loi de cohérence phénoménale — Démonstration complète par applications”</w:t>
            </w:r>
          </w:p>
        </w:tc>
        <w:tc>
          <w:tcPr>
            <w:tcW w:type="dxa" w:w="1361"/>
            <w:vAlign w:val="center"/>
          </w:tcPr>
          <w:p>
            <w:pPr>
              <w:spacing w:after="0" w:before="0"/>
            </w:pPr>
            <w:r/>
            <w:r>
              <w:rPr>
                <w:b w:val="0"/>
                <w:sz w:val="13"/>
              </w:rPr>
              <w:t>NON_MESURÉ</w:t>
            </w:r>
          </w:p>
        </w:tc>
        <w:tc>
          <w:tcPr>
            <w:tcW w:type="dxa" w:w="2438"/>
            <w:vAlign w:val="center"/>
          </w:tcPr>
          <w:p>
            <w:pPr>
              <w:spacing w:after="0" w:before="0"/>
            </w:pPr>
            <w:r/>
            <w:r>
              <w:rPr>
                <w:b w:val="0"/>
                <w:sz w:val="13"/>
              </w:rPr>
              <w:t>NON_MESURÉ</w:t>
            </w:r>
          </w:p>
        </w:tc>
        <w:tc>
          <w:tcPr>
            <w:tcW w:type="dxa" w:w="2041"/>
            <w:vAlign w:val="center"/>
          </w:tcPr>
          <w:p>
            <w:pPr>
              <w:spacing w:after="0" w:before="0"/>
            </w:pPr>
            <w:r/>
            <w:r>
              <w:rPr>
                <w:b w:val="0"/>
                <w:sz w:val="13"/>
              </w:rPr>
              <w:t>BLOCKING IDENTITY CONFLICT</w:t>
            </w:r>
          </w:p>
        </w:tc>
      </w:tr>
    </w:tbl>
    <w:p>
      <w:pPr>
        <w:spacing w:after="100"/>
      </w:pPr>
      <w:r>
        <w:rPr>
          <w:b/>
        </w:rPr>
        <w:t xml:space="preserve">Scholar gate — </w:t>
      </w:r>
      <w:r>
        <w:t>DOI 18526755 must not be promoted in the final multilingual/Google Scholar publication until one authoritative identity is resolved across Zenodo, GitHub mirror, HTML citation tags, PDF title, ORCID/registry metadata and the canonical corpus map. A DOI cannot safely index two materially different titles/descriptions as if they were one work.</w:t>
      </w:r>
    </w:p>
    <w:p>
      <w:pPr>
        <w:pStyle w:val="Heading1"/>
        <w:keepNext/>
        <w:keepLines/>
      </w:pPr>
      <w:r>
        <w:t>39. Exact-combination prior-art continuation</w:t>
      </w:r>
    </w:p>
    <w:tbl>
      <w:tblPr>
        <w:tblStyle w:val="TableGrid"/>
        <w:tblW w:type="auto" w:w="0"/>
        <w:jc w:val="center"/>
        <w:tblLayout w:type="autofit"/>
        <w:tblLook w:firstColumn="1" w:firstRow="1" w:lastColumn="0" w:lastRow="0" w:noHBand="0" w:noVBand="1" w:val="04A0"/>
      </w:tblPr>
      <w:tblGrid>
        <w:gridCol w:w="2437"/>
        <w:gridCol w:w="2437"/>
        <w:gridCol w:w="2437"/>
        <w:gridCol w:w="2437"/>
      </w:tblGrid>
      <w:tr>
        <w:trPr>
          <w:tblHeader w:val="true"/>
        </w:trPr>
        <w:tc>
          <w:tcPr>
            <w:tcW w:type="dxa" w:w="2268"/>
            <w:vAlign w:val="center"/>
            <w:shd w:fill="D9EAF7"/>
          </w:tcPr>
          <w:p>
            <w:pPr>
              <w:spacing w:after="0" w:before="0"/>
            </w:pPr>
            <w:r/>
            <w:r>
              <w:rPr>
                <w:b/>
                <w:sz w:val="13"/>
              </w:rPr>
              <w:t>Function</w:t>
            </w:r>
          </w:p>
        </w:tc>
        <w:tc>
          <w:tcPr>
            <w:tcW w:type="dxa" w:w="3061"/>
            <w:vAlign w:val="center"/>
            <w:shd w:fill="D9EAF7"/>
          </w:tcPr>
          <w:p>
            <w:pPr>
              <w:spacing w:after="0" w:before="0"/>
            </w:pPr>
            <w:r/>
            <w:r>
              <w:rPr>
                <w:b/>
                <w:sz w:val="13"/>
              </w:rPr>
              <w:t>Earlier lineage</w:t>
            </w:r>
          </w:p>
        </w:tc>
        <w:tc>
          <w:tcPr>
            <w:tcW w:type="dxa" w:w="4309"/>
            <w:vAlign w:val="center"/>
            <w:shd w:fill="D9EAF7"/>
          </w:tcPr>
          <w:p>
            <w:pPr>
              <w:spacing w:after="0" w:before="0"/>
            </w:pPr>
            <w:r/>
            <w:r>
              <w:rPr>
                <w:b/>
                <w:sz w:val="13"/>
              </w:rPr>
              <w:t>Priority implication</w:t>
            </w:r>
          </w:p>
        </w:tc>
        <w:tc>
          <w:tcPr>
            <w:tcW w:type="dxa" w:w="1871"/>
            <w:vAlign w:val="center"/>
            <w:shd w:fill="D9EAF7"/>
          </w:tcPr>
          <w:p>
            <w:pPr>
              <w:spacing w:after="0" w:before="0"/>
            </w:pPr>
            <w:r/>
            <w:r>
              <w:rPr>
                <w:b/>
                <w:sz w:val="13"/>
              </w:rPr>
              <w:t>Status</w:t>
            </w:r>
          </w:p>
        </w:tc>
      </w:tr>
      <w:tr>
        <w:trPr>
          <w:cantSplit/>
        </w:trPr>
        <w:tc>
          <w:tcPr>
            <w:tcW w:type="dxa" w:w="2268"/>
            <w:vAlign w:val="center"/>
          </w:tcPr>
          <w:p>
            <w:pPr>
              <w:spacing w:after="0" w:before="0"/>
            </w:pPr>
            <w:r/>
            <w:r>
              <w:rPr>
                <w:b w:val="0"/>
                <w:sz w:val="13"/>
              </w:rPr>
              <w:t>Reject / abstain when confidence is insufficient</w:t>
            </w:r>
          </w:p>
        </w:tc>
        <w:tc>
          <w:tcPr>
            <w:tcW w:type="dxa" w:w="3061"/>
            <w:vAlign w:val="center"/>
          </w:tcPr>
          <w:p>
            <w:pPr>
              <w:spacing w:after="0" w:before="0"/>
            </w:pPr>
            <w:r/>
            <w:r>
              <w:rPr>
                <w:b w:val="0"/>
                <w:sz w:val="13"/>
              </w:rPr>
              <w:t>Chow, 1970, optimum recognition error–reject tradeoff</w:t>
            </w:r>
          </w:p>
        </w:tc>
        <w:tc>
          <w:tcPr>
            <w:tcW w:type="dxa" w:w="4309"/>
            <w:vAlign w:val="center"/>
          </w:tcPr>
          <w:p>
            <w:pPr>
              <w:spacing w:after="0" w:before="0"/>
            </w:pPr>
            <w:r/>
            <w:r>
              <w:rPr>
                <w:b w:val="0"/>
                <w:sz w:val="13"/>
              </w:rPr>
              <w:t>Predates generic “silence/refusal as valid output.”</w:t>
            </w:r>
          </w:p>
        </w:tc>
        <w:tc>
          <w:tcPr>
            <w:tcW w:type="dxa" w:w="1871"/>
            <w:vAlign w:val="center"/>
          </w:tcPr>
          <w:p>
            <w:pPr>
              <w:spacing w:after="0" w:before="0"/>
            </w:pPr>
            <w:r/>
            <w:r>
              <w:rPr>
                <w:b w:val="0"/>
                <w:sz w:val="13"/>
              </w:rPr>
              <w:t>BROAD PRIORITY CLOSED</w:t>
            </w:r>
          </w:p>
        </w:tc>
      </w:tr>
      <w:tr>
        <w:trPr>
          <w:cantSplit/>
        </w:trPr>
        <w:tc>
          <w:tcPr>
            <w:tcW w:type="dxa" w:w="2268"/>
            <w:vAlign w:val="center"/>
          </w:tcPr>
          <w:p>
            <w:pPr>
              <w:spacing w:after="0" w:before="0"/>
            </w:pPr>
            <w:r/>
            <w:r>
              <w:rPr>
                <w:b w:val="0"/>
                <w:sz w:val="13"/>
              </w:rPr>
              <w:t>Proof attached to an artefact against a policy</w:t>
            </w:r>
          </w:p>
        </w:tc>
        <w:tc>
          <w:tcPr>
            <w:tcW w:type="dxa" w:w="3061"/>
            <w:vAlign w:val="center"/>
          </w:tcPr>
          <w:p>
            <w:pPr>
              <w:spacing w:after="0" w:before="0"/>
            </w:pPr>
            <w:r/>
            <w:r>
              <w:rPr>
                <w:b w:val="0"/>
                <w:sz w:val="13"/>
              </w:rPr>
              <w:t>Necula, Proof-Carrying Code, POPL 1997</w:t>
            </w:r>
          </w:p>
        </w:tc>
        <w:tc>
          <w:tcPr>
            <w:tcW w:type="dxa" w:w="4309"/>
            <w:vAlign w:val="center"/>
          </w:tcPr>
          <w:p>
            <w:pPr>
              <w:spacing w:after="0" w:before="0"/>
            </w:pPr>
            <w:r/>
            <w:r>
              <w:rPr>
                <w:b w:val="0"/>
                <w:sz w:val="13"/>
              </w:rPr>
              <w:t>Predates generic proof-carrying/safety-certificate architecture.</w:t>
            </w:r>
          </w:p>
        </w:tc>
        <w:tc>
          <w:tcPr>
            <w:tcW w:type="dxa" w:w="1871"/>
            <w:vAlign w:val="center"/>
          </w:tcPr>
          <w:p>
            <w:pPr>
              <w:spacing w:after="0" w:before="0"/>
            </w:pPr>
            <w:r/>
            <w:r>
              <w:rPr>
                <w:b w:val="0"/>
                <w:sz w:val="13"/>
              </w:rPr>
              <w:t>BROAD PRIORITY CLOSED</w:t>
            </w:r>
          </w:p>
        </w:tc>
      </w:tr>
      <w:tr>
        <w:trPr>
          <w:cantSplit/>
        </w:trPr>
        <w:tc>
          <w:tcPr>
            <w:tcW w:type="dxa" w:w="2268"/>
            <w:vAlign w:val="center"/>
          </w:tcPr>
          <w:p>
            <w:pPr>
              <w:spacing w:after="0" w:before="0"/>
            </w:pPr>
            <w:r/>
            <w:r>
              <w:rPr>
                <w:b w:val="0"/>
                <w:sz w:val="13"/>
              </w:rPr>
              <w:t>Non-compensation and criterion veto</w:t>
            </w:r>
          </w:p>
        </w:tc>
        <w:tc>
          <w:tcPr>
            <w:tcW w:type="dxa" w:w="3061"/>
            <w:vAlign w:val="center"/>
          </w:tcPr>
          <w:p>
            <w:pPr>
              <w:spacing w:after="0" w:before="0"/>
            </w:pPr>
            <w:r/>
            <w:r>
              <w:rPr>
                <w:b w:val="0"/>
                <w:sz w:val="13"/>
              </w:rPr>
              <w:t>ELECTRE family; established decades before 2025</w:t>
            </w:r>
          </w:p>
        </w:tc>
        <w:tc>
          <w:tcPr>
            <w:tcW w:type="dxa" w:w="4309"/>
            <w:vAlign w:val="center"/>
          </w:tcPr>
          <w:p>
            <w:pPr>
              <w:spacing w:after="0" w:before="0"/>
            </w:pPr>
            <w:r/>
            <w:r>
              <w:rPr>
                <w:b w:val="0"/>
                <w:sz w:val="13"/>
              </w:rPr>
              <w:t>Predates generic “one critical criterion blocks compensation.”</w:t>
            </w:r>
          </w:p>
        </w:tc>
        <w:tc>
          <w:tcPr>
            <w:tcW w:type="dxa" w:w="1871"/>
            <w:vAlign w:val="center"/>
          </w:tcPr>
          <w:p>
            <w:pPr>
              <w:spacing w:after="0" w:before="0"/>
            </w:pPr>
            <w:r/>
            <w:r>
              <w:rPr>
                <w:b w:val="0"/>
                <w:sz w:val="13"/>
              </w:rPr>
              <w:t>BROAD PRIORITY CLOSED</w:t>
            </w:r>
          </w:p>
        </w:tc>
      </w:tr>
      <w:tr>
        <w:trPr>
          <w:cantSplit/>
        </w:trPr>
        <w:tc>
          <w:tcPr>
            <w:tcW w:type="dxa" w:w="2268"/>
            <w:vAlign w:val="center"/>
          </w:tcPr>
          <w:p>
            <w:pPr>
              <w:spacing w:after="0" w:before="0"/>
            </w:pPr>
            <w:r/>
            <w:r>
              <w:rPr>
                <w:b w:val="0"/>
                <w:sz w:val="13"/>
              </w:rPr>
              <w:t>Machine-readable provenance interchange</w:t>
            </w:r>
          </w:p>
        </w:tc>
        <w:tc>
          <w:tcPr>
            <w:tcW w:type="dxa" w:w="3061"/>
            <w:vAlign w:val="center"/>
          </w:tcPr>
          <w:p>
            <w:pPr>
              <w:spacing w:after="0" w:before="0"/>
            </w:pPr>
            <w:r/>
            <w:r>
              <w:rPr>
                <w:b w:val="0"/>
                <w:sz w:val="13"/>
              </w:rPr>
              <w:t>W3C PROV-O Recommendation, 30 Apr 2013</w:t>
            </w:r>
          </w:p>
        </w:tc>
        <w:tc>
          <w:tcPr>
            <w:tcW w:type="dxa" w:w="4309"/>
            <w:vAlign w:val="center"/>
          </w:tcPr>
          <w:p>
            <w:pPr>
              <w:spacing w:after="0" w:before="0"/>
            </w:pPr>
            <w:r/>
            <w:r>
              <w:rPr>
                <w:b w:val="0"/>
                <w:sz w:val="13"/>
              </w:rPr>
              <w:t>Predates generic interoperable provenance/traceability model.</w:t>
            </w:r>
          </w:p>
        </w:tc>
        <w:tc>
          <w:tcPr>
            <w:tcW w:type="dxa" w:w="1871"/>
            <w:vAlign w:val="center"/>
          </w:tcPr>
          <w:p>
            <w:pPr>
              <w:spacing w:after="0" w:before="0"/>
            </w:pPr>
            <w:r/>
            <w:r>
              <w:rPr>
                <w:b w:val="0"/>
                <w:sz w:val="13"/>
              </w:rPr>
              <w:t>BROAD PRIORITY CLOSED</w:t>
            </w:r>
          </w:p>
        </w:tc>
      </w:tr>
      <w:tr>
        <w:trPr>
          <w:cantSplit/>
        </w:trPr>
        <w:tc>
          <w:tcPr>
            <w:tcW w:type="dxa" w:w="2268"/>
            <w:vAlign w:val="center"/>
          </w:tcPr>
          <w:p>
            <w:pPr>
              <w:spacing w:after="0" w:before="0"/>
            </w:pPr>
            <w:r/>
            <w:r>
              <w:rPr>
                <w:b w:val="0"/>
                <w:sz w:val="13"/>
              </w:rPr>
              <w:t>Formal runtime/action shielding</w:t>
            </w:r>
          </w:p>
        </w:tc>
        <w:tc>
          <w:tcPr>
            <w:tcW w:type="dxa" w:w="3061"/>
            <w:vAlign w:val="center"/>
          </w:tcPr>
          <w:p>
            <w:pPr>
              <w:spacing w:after="0" w:before="0"/>
            </w:pPr>
            <w:r/>
            <w:r>
              <w:rPr>
                <w:b w:val="0"/>
                <w:sz w:val="13"/>
              </w:rPr>
              <w:t>Safe RL via Shielding, 2017/2018</w:t>
            </w:r>
          </w:p>
        </w:tc>
        <w:tc>
          <w:tcPr>
            <w:tcW w:type="dxa" w:w="4309"/>
            <w:vAlign w:val="center"/>
          </w:tcPr>
          <w:p>
            <w:pPr>
              <w:spacing w:after="0" w:before="0"/>
            </w:pPr>
            <w:r/>
            <w:r>
              <w:rPr>
                <w:b w:val="0"/>
                <w:sz w:val="13"/>
              </w:rPr>
              <w:t>Predates generic formal veto/shield around an AI policy.</w:t>
            </w:r>
          </w:p>
        </w:tc>
        <w:tc>
          <w:tcPr>
            <w:tcW w:type="dxa" w:w="1871"/>
            <w:vAlign w:val="center"/>
          </w:tcPr>
          <w:p>
            <w:pPr>
              <w:spacing w:after="0" w:before="0"/>
            </w:pPr>
            <w:r/>
            <w:r>
              <w:rPr>
                <w:b w:val="0"/>
                <w:sz w:val="13"/>
              </w:rPr>
              <w:t>BROAD PRIORITY CLOSED</w:t>
            </w:r>
          </w:p>
        </w:tc>
      </w:tr>
      <w:tr>
        <w:trPr>
          <w:cantSplit/>
        </w:trPr>
        <w:tc>
          <w:tcPr>
            <w:tcW w:type="dxa" w:w="2268"/>
            <w:vAlign w:val="center"/>
          </w:tcPr>
          <w:p>
            <w:pPr>
              <w:spacing w:after="0" w:before="0"/>
            </w:pPr>
            <w:r/>
            <w:r>
              <w:rPr>
                <w:b w:val="0"/>
                <w:sz w:val="13"/>
              </w:rPr>
              <w:t>Automated scientific research loop</w:t>
            </w:r>
          </w:p>
        </w:tc>
        <w:tc>
          <w:tcPr>
            <w:tcW w:type="dxa" w:w="3061"/>
            <w:vAlign w:val="center"/>
          </w:tcPr>
          <w:p>
            <w:pPr>
              <w:spacing w:after="0" w:before="0"/>
            </w:pPr>
            <w:r/>
            <w:r>
              <w:rPr>
                <w:b w:val="0"/>
                <w:sz w:val="13"/>
              </w:rPr>
              <w:t>Robot Scientist; Coscientist; AI Scientist</w:t>
            </w:r>
          </w:p>
        </w:tc>
        <w:tc>
          <w:tcPr>
            <w:tcW w:type="dxa" w:w="4309"/>
            <w:vAlign w:val="center"/>
          </w:tcPr>
          <w:p>
            <w:pPr>
              <w:spacing w:after="0" w:before="0"/>
            </w:pPr>
            <w:r/>
            <w:r>
              <w:rPr>
                <w:b w:val="0"/>
                <w:sz w:val="13"/>
              </w:rPr>
              <w:t>Predates autonomous hypothesis/experiment/research-loop claims.</w:t>
            </w:r>
          </w:p>
        </w:tc>
        <w:tc>
          <w:tcPr>
            <w:tcW w:type="dxa" w:w="1871"/>
            <w:vAlign w:val="center"/>
          </w:tcPr>
          <w:p>
            <w:pPr>
              <w:spacing w:after="0" w:before="0"/>
            </w:pPr>
            <w:r/>
            <w:r>
              <w:rPr>
                <w:b w:val="0"/>
                <w:sz w:val="13"/>
              </w:rPr>
              <w:t>BROAD PRIORITY CLOSED</w:t>
            </w:r>
          </w:p>
        </w:tc>
      </w:tr>
      <w:tr>
        <w:trPr>
          <w:cantSplit/>
        </w:trPr>
        <w:tc>
          <w:tcPr>
            <w:tcW w:type="dxa" w:w="2268"/>
            <w:vAlign w:val="center"/>
          </w:tcPr>
          <w:p>
            <w:pPr>
              <w:spacing w:after="0" w:before="0"/>
            </w:pPr>
            <w:r/>
            <w:r>
              <w:rPr>
                <w:b w:val="0"/>
                <w:sz w:val="13"/>
              </w:rPr>
              <w:t>Agentic sequential falsification</w:t>
            </w:r>
          </w:p>
        </w:tc>
        <w:tc>
          <w:tcPr>
            <w:tcW w:type="dxa" w:w="3061"/>
            <w:vAlign w:val="center"/>
          </w:tcPr>
          <w:p>
            <w:pPr>
              <w:spacing w:after="0" w:before="0"/>
            </w:pPr>
            <w:r/>
            <w:r>
              <w:rPr>
                <w:b w:val="0"/>
                <w:sz w:val="13"/>
              </w:rPr>
              <w:t>POPPER, submitted 14 Feb 2025</w:t>
            </w:r>
          </w:p>
        </w:tc>
        <w:tc>
          <w:tcPr>
            <w:tcW w:type="dxa" w:w="4309"/>
            <w:vAlign w:val="center"/>
          </w:tcPr>
          <w:p>
            <w:pPr>
              <w:spacing w:after="0" w:before="0"/>
            </w:pPr>
            <w:r/>
            <w:r>
              <w:rPr>
                <w:b w:val="0"/>
                <w:sz w:val="13"/>
              </w:rPr>
              <w:t>Predates broad LLM-agent falsification priority.</w:t>
            </w:r>
          </w:p>
        </w:tc>
        <w:tc>
          <w:tcPr>
            <w:tcW w:type="dxa" w:w="1871"/>
            <w:vAlign w:val="center"/>
          </w:tcPr>
          <w:p>
            <w:pPr>
              <w:spacing w:after="0" w:before="0"/>
            </w:pPr>
            <w:r/>
            <w:r>
              <w:rPr>
                <w:b w:val="0"/>
                <w:sz w:val="13"/>
              </w:rPr>
              <w:t>BROAD PRIORITY CLOSED</w:t>
            </w:r>
          </w:p>
        </w:tc>
      </w:tr>
      <w:tr>
        <w:trPr>
          <w:cantSplit/>
        </w:trPr>
        <w:tc>
          <w:tcPr>
            <w:tcW w:type="dxa" w:w="2268"/>
            <w:vAlign w:val="center"/>
          </w:tcPr>
          <w:p>
            <w:pPr>
              <w:spacing w:after="0" w:before="0"/>
            </w:pPr>
            <w:r/>
            <w:r>
              <w:rPr>
                <w:b w:val="0"/>
                <w:sz w:val="13"/>
              </w:rPr>
              <w:t>Research-object packaging + provenance</w:t>
            </w:r>
          </w:p>
        </w:tc>
        <w:tc>
          <w:tcPr>
            <w:tcW w:type="dxa" w:w="3061"/>
            <w:vAlign w:val="center"/>
          </w:tcPr>
          <w:p>
            <w:pPr>
              <w:spacing w:after="0" w:before="0"/>
            </w:pPr>
            <w:r/>
            <w:r>
              <w:rPr>
                <w:b w:val="0"/>
                <w:sz w:val="13"/>
              </w:rPr>
              <w:t>RO-Crate / Workflow Run RO-Crate lineage</w:t>
            </w:r>
          </w:p>
        </w:tc>
        <w:tc>
          <w:tcPr>
            <w:tcW w:type="dxa" w:w="4309"/>
            <w:vAlign w:val="center"/>
          </w:tcPr>
          <w:p>
            <w:pPr>
              <w:spacing w:after="0" w:before="0"/>
            </w:pPr>
            <w:r/>
            <w:r>
              <w:rPr>
                <w:b w:val="0"/>
                <w:sz w:val="13"/>
              </w:rPr>
              <w:t>Predates generic machine-readable packaging of research artefacts/provenance.</w:t>
            </w:r>
          </w:p>
        </w:tc>
        <w:tc>
          <w:tcPr>
            <w:tcW w:type="dxa" w:w="1871"/>
            <w:vAlign w:val="center"/>
          </w:tcPr>
          <w:p>
            <w:pPr>
              <w:spacing w:after="0" w:before="0"/>
            </w:pPr>
            <w:r/>
            <w:r>
              <w:rPr>
                <w:b w:val="0"/>
                <w:sz w:val="13"/>
              </w:rPr>
              <w:t>BROAD PRIORITY CLOSED</w:t>
            </w:r>
          </w:p>
        </w:tc>
      </w:tr>
      <w:tr>
        <w:trPr>
          <w:cantSplit/>
        </w:trPr>
        <w:tc>
          <w:tcPr>
            <w:tcW w:type="dxa" w:w="2268"/>
            <w:vAlign w:val="center"/>
          </w:tcPr>
          <w:p>
            <w:pPr>
              <w:spacing w:after="0" w:before="0"/>
            </w:pPr>
            <w:r/>
            <w:r>
              <w:rPr>
                <w:b w:val="0"/>
                <w:sz w:val="13"/>
              </w:rPr>
              <w:t>Exact Zoran conjunction</w:t>
            </w:r>
          </w:p>
        </w:tc>
        <w:tc>
          <w:tcPr>
            <w:tcW w:type="dxa" w:w="3061"/>
            <w:vAlign w:val="center"/>
          </w:tcPr>
          <w:p>
            <w:pPr>
              <w:spacing w:after="0" w:before="0"/>
            </w:pPr>
            <w:r/>
            <w:r>
              <w:rPr>
                <w:b w:val="0"/>
                <w:sz w:val="13"/>
              </w:rPr>
              <w:t>Frames/proxies + S-gauge + temporal debt/admissibility + non-compensation + ProofChain + multi-AI adversarial testing + refusal/silence</w:t>
            </w:r>
          </w:p>
        </w:tc>
        <w:tc>
          <w:tcPr>
            <w:tcW w:type="dxa" w:w="4309"/>
            <w:vAlign w:val="center"/>
          </w:tcPr>
          <w:p>
            <w:pPr>
              <w:spacing w:after="0" w:before="0"/>
            </w:pPr>
            <w:r/>
            <w:r>
              <w:rPr>
                <w:b w:val="0"/>
                <w:sz w:val="13"/>
              </w:rPr>
              <w:t>No exact one-to-one antecedent certified in Pass 6; however every major ingredient has older neighbouring art.</w:t>
            </w:r>
          </w:p>
        </w:tc>
        <w:tc>
          <w:tcPr>
            <w:tcW w:type="dxa" w:w="1871"/>
            <w:vAlign w:val="center"/>
          </w:tcPr>
          <w:p>
            <w:pPr>
              <w:spacing w:after="0" w:before="0"/>
            </w:pPr>
            <w:r/>
            <w:r>
              <w:rPr>
                <w:b w:val="0"/>
                <w:sz w:val="13"/>
              </w:rPr>
              <w:t>OPEN; WORLD-FIRST NOT ESTABLISHED</w:t>
            </w:r>
          </w:p>
        </w:tc>
      </w:tr>
    </w:tbl>
    <w:p>
      <w:pPr>
        <w:spacing w:after="100"/>
      </w:pPr>
      <w:r>
        <w:rPr>
          <w:b/>
        </w:rPr>
        <w:t xml:space="preserve">Assembly rule — </w:t>
      </w:r>
      <w:r>
        <w:t>Combinatorial novelty cannot be inferred from “no exact search hit.” To establish an assembly-level priority, the final paper would need a fixed conjunction defined before searching, a dated exhaustive search protocol, explicit exclusion criteria, and a comparison showing that removing any claimed Zoran component changes the scientific/operational object rather than merely its packaging.</w:t>
      </w:r>
    </w:p>
    <w:p>
      <w:pPr>
        <w:pStyle w:val="Heading1"/>
        <w:keepNext/>
        <w:keepLines/>
      </w:pPr>
      <w:r>
        <w:t>40. Source-level licence and reuse ledger</w:t>
      </w:r>
    </w:p>
    <w:tbl>
      <w:tblPr>
        <w:tblStyle w:val="TableGrid"/>
        <w:tblW w:type="auto" w:w="0"/>
        <w:jc w:val="center"/>
        <w:tblLayout w:type="autofit"/>
        <w:tblLook w:firstColumn="1" w:firstRow="1" w:lastColumn="0" w:lastRow="0" w:noHBand="0" w:noVBand="1" w:val="04A0"/>
      </w:tblPr>
      <w:tblGrid>
        <w:gridCol w:w="1950"/>
        <w:gridCol w:w="1950"/>
        <w:gridCol w:w="1950"/>
        <w:gridCol w:w="1950"/>
        <w:gridCol w:w="1950"/>
      </w:tblGrid>
      <w:tr>
        <w:trPr>
          <w:tblHeader w:val="true"/>
        </w:trPr>
        <w:tc>
          <w:tcPr>
            <w:tcW w:type="dxa" w:w="2154"/>
            <w:vAlign w:val="center"/>
            <w:shd w:fill="D9EAF7"/>
          </w:tcPr>
          <w:p>
            <w:pPr>
              <w:spacing w:after="0" w:before="0"/>
            </w:pPr>
            <w:r/>
            <w:r>
              <w:rPr>
                <w:b/>
                <w:sz w:val="13"/>
              </w:rPr>
              <w:t>Source</w:t>
            </w:r>
          </w:p>
        </w:tc>
        <w:tc>
          <w:tcPr>
            <w:tcW w:type="dxa" w:w="1531"/>
            <w:vAlign w:val="center"/>
            <w:shd w:fill="D9EAF7"/>
          </w:tcPr>
          <w:p>
            <w:pPr>
              <w:spacing w:after="0" w:before="0"/>
            </w:pPr>
            <w:r/>
            <w:r>
              <w:rPr>
                <w:b/>
                <w:sz w:val="13"/>
              </w:rPr>
              <w:t>Object</w:t>
            </w:r>
          </w:p>
        </w:tc>
        <w:tc>
          <w:tcPr>
            <w:tcW w:type="dxa" w:w="3005"/>
            <w:vAlign w:val="center"/>
            <w:shd w:fill="D9EAF7"/>
          </w:tcPr>
          <w:p>
            <w:pPr>
              <w:spacing w:after="0" w:before="0"/>
            </w:pPr>
            <w:r/>
            <w:r>
              <w:rPr>
                <w:b/>
                <w:sz w:val="13"/>
              </w:rPr>
              <w:t>Licence / rights observed</w:t>
            </w:r>
          </w:p>
        </w:tc>
        <w:tc>
          <w:tcPr>
            <w:tcW w:type="dxa" w:w="1814"/>
            <w:vAlign w:val="center"/>
            <w:shd w:fill="D9EAF7"/>
          </w:tcPr>
          <w:p>
            <w:pPr>
              <w:spacing w:after="0" w:before="0"/>
            </w:pPr>
            <w:r/>
            <w:r>
              <w:rPr>
                <w:b/>
                <w:sz w:val="13"/>
              </w:rPr>
              <w:t>Status</w:t>
            </w:r>
          </w:p>
        </w:tc>
        <w:tc>
          <w:tcPr>
            <w:tcW w:type="dxa" w:w="3685"/>
            <w:vAlign w:val="center"/>
            <w:shd w:fill="D9EAF7"/>
          </w:tcPr>
          <w:p>
            <w:pPr>
              <w:spacing w:after="0" w:before="0"/>
            </w:pPr>
            <w:r/>
            <w:r>
              <w:rPr>
                <w:b/>
                <w:sz w:val="13"/>
              </w:rPr>
              <w:t>Reuse rule in atlas</w:t>
            </w:r>
          </w:p>
        </w:tc>
      </w:tr>
      <w:tr>
        <w:trPr>
          <w:cantSplit/>
        </w:trPr>
        <w:tc>
          <w:tcPr>
            <w:tcW w:type="dxa" w:w="2154"/>
            <w:vAlign w:val="center"/>
          </w:tcPr>
          <w:p>
            <w:pPr>
              <w:spacing w:after="0" w:before="0"/>
            </w:pPr>
            <w:r/>
            <w:r>
              <w:rPr>
                <w:b w:val="0"/>
                <w:sz w:val="13"/>
              </w:rPr>
              <w:t>Zoran PITON+ GitHub</w:t>
            </w:r>
          </w:p>
        </w:tc>
        <w:tc>
          <w:tcPr>
            <w:tcW w:type="dxa" w:w="1531"/>
            <w:vAlign w:val="center"/>
          </w:tcPr>
          <w:p>
            <w:pPr>
              <w:spacing w:after="0" w:before="0"/>
            </w:pPr>
            <w:r/>
            <w:r>
              <w:rPr>
                <w:b w:val="0"/>
                <w:sz w:val="13"/>
              </w:rPr>
              <w:t>Code</w:t>
            </w:r>
          </w:p>
        </w:tc>
        <w:tc>
          <w:tcPr>
            <w:tcW w:type="dxa" w:w="3005"/>
            <w:vAlign w:val="center"/>
          </w:tcPr>
          <w:p>
            <w:pPr>
              <w:spacing w:after="0" w:before="0"/>
            </w:pPr>
            <w:r/>
            <w:r>
              <w:rPr>
                <w:b w:val="0"/>
                <w:sz w:val="13"/>
              </w:rPr>
              <w:t>MIT License © 2025 Frédéric Tabary</w:t>
            </w:r>
          </w:p>
        </w:tc>
        <w:tc>
          <w:tcPr>
            <w:tcW w:type="dxa" w:w="1814"/>
            <w:vAlign w:val="center"/>
          </w:tcPr>
          <w:p>
            <w:pPr>
              <w:spacing w:after="0" w:before="0"/>
            </w:pPr>
            <w:r/>
            <w:r>
              <w:rPr>
                <w:b w:val="0"/>
                <w:sz w:val="13"/>
              </w:rPr>
              <w:t>VERIFIED in repository LICENSE</w:t>
            </w:r>
          </w:p>
        </w:tc>
        <w:tc>
          <w:tcPr>
            <w:tcW w:type="dxa" w:w="3685"/>
            <w:vAlign w:val="center"/>
          </w:tcPr>
          <w:p>
            <w:pPr>
              <w:spacing w:after="0" w:before="0"/>
            </w:pPr>
            <w:r/>
            <w:r>
              <w:rPr>
                <w:b w:val="0"/>
                <w:sz w:val="13"/>
              </w:rPr>
              <w:t>Code comparison/reproduction allowed under MIT conditions.</w:t>
            </w:r>
          </w:p>
        </w:tc>
      </w:tr>
      <w:tr>
        <w:trPr>
          <w:cantSplit/>
        </w:trPr>
        <w:tc>
          <w:tcPr>
            <w:tcW w:type="dxa" w:w="2154"/>
            <w:vAlign w:val="center"/>
          </w:tcPr>
          <w:p>
            <w:pPr>
              <w:spacing w:after="0" w:before="0"/>
            </w:pPr>
            <w:r/>
            <w:r>
              <w:rPr>
                <w:b w:val="0"/>
                <w:sz w:val="13"/>
              </w:rPr>
              <w:t>DOI 17804030</w:t>
            </w:r>
          </w:p>
        </w:tc>
        <w:tc>
          <w:tcPr>
            <w:tcW w:type="dxa" w:w="1531"/>
            <w:vAlign w:val="center"/>
          </w:tcPr>
          <w:p>
            <w:pPr>
              <w:spacing w:after="0" w:before="0"/>
            </w:pPr>
            <w:r/>
            <w:r>
              <w:rPr>
                <w:b w:val="0"/>
                <w:sz w:val="13"/>
              </w:rPr>
              <w:t>Report + embedded code</w:t>
            </w:r>
          </w:p>
        </w:tc>
        <w:tc>
          <w:tcPr>
            <w:tcW w:type="dxa" w:w="3005"/>
            <w:vAlign w:val="center"/>
          </w:tcPr>
          <w:p>
            <w:pPr>
              <w:spacing w:after="0" w:before="0"/>
            </w:pPr>
            <w:r/>
            <w:r>
              <w:rPr>
                <w:b w:val="0"/>
                <w:sz w:val="13"/>
              </w:rPr>
              <w:t>Zenodo Rights blank; embedded §7 says MIT</w:t>
            </w:r>
          </w:p>
        </w:tc>
        <w:tc>
          <w:tcPr>
            <w:tcW w:type="dxa" w:w="1814"/>
            <w:vAlign w:val="center"/>
          </w:tcPr>
          <w:p>
            <w:pPr>
              <w:spacing w:after="0" w:before="0"/>
            </w:pPr>
            <w:r/>
            <w:r>
              <w:rPr>
                <w:b w:val="0"/>
                <w:sz w:val="13"/>
              </w:rPr>
              <w:t>CONFLICT / PARTIAL</w:t>
            </w:r>
          </w:p>
        </w:tc>
        <w:tc>
          <w:tcPr>
            <w:tcW w:type="dxa" w:w="3685"/>
            <w:vAlign w:val="center"/>
          </w:tcPr>
          <w:p>
            <w:pPr>
              <w:spacing w:after="0" w:before="0"/>
            </w:pPr>
            <w:r/>
            <w:r>
              <w:rPr>
                <w:b w:val="0"/>
                <w:sz w:val="13"/>
              </w:rPr>
              <w:t>Treat paper-text licence as NON_MESURÉ; code text self-declares MIT but no separate code deposit was inspected.</w:t>
            </w:r>
          </w:p>
        </w:tc>
      </w:tr>
      <w:tr>
        <w:trPr>
          <w:cantSplit/>
        </w:trPr>
        <w:tc>
          <w:tcPr>
            <w:tcW w:type="dxa" w:w="2154"/>
            <w:vAlign w:val="center"/>
          </w:tcPr>
          <w:p>
            <w:pPr>
              <w:spacing w:after="0" w:before="0"/>
            </w:pPr>
            <w:r/>
            <w:r>
              <w:rPr>
                <w:b w:val="0"/>
                <w:sz w:val="13"/>
              </w:rPr>
              <w:t>DOI 18497598</w:t>
            </w:r>
          </w:p>
        </w:tc>
        <w:tc>
          <w:tcPr>
            <w:tcW w:type="dxa" w:w="1531"/>
            <w:vAlign w:val="center"/>
          </w:tcPr>
          <w:p>
            <w:pPr>
              <w:spacing w:after="0" w:before="0"/>
            </w:pPr>
            <w:r/>
            <w:r>
              <w:rPr>
                <w:b w:val="0"/>
                <w:sz w:val="13"/>
              </w:rPr>
              <w:t>Report</w:t>
            </w:r>
          </w:p>
        </w:tc>
        <w:tc>
          <w:tcPr>
            <w:tcW w:type="dxa" w:w="3005"/>
            <w:vAlign w:val="center"/>
          </w:tcPr>
          <w:p>
            <w:pPr>
              <w:spacing w:after="0" w:before="0"/>
            </w:pPr>
            <w:r/>
            <w:r>
              <w:rPr>
                <w:b w:val="0"/>
                <w:sz w:val="13"/>
              </w:rPr>
              <w:t>Zenodo Rights licence blank</w:t>
            </w:r>
          </w:p>
        </w:tc>
        <w:tc>
          <w:tcPr>
            <w:tcW w:type="dxa" w:w="1814"/>
            <w:vAlign w:val="center"/>
          </w:tcPr>
          <w:p>
            <w:pPr>
              <w:spacing w:after="0" w:before="0"/>
            </w:pPr>
            <w:r/>
            <w:r>
              <w:rPr>
                <w:b w:val="0"/>
                <w:sz w:val="13"/>
              </w:rPr>
              <w:t>NON_MESURÉ</w:t>
            </w:r>
          </w:p>
        </w:tc>
        <w:tc>
          <w:tcPr>
            <w:tcW w:type="dxa" w:w="3685"/>
            <w:vAlign w:val="center"/>
          </w:tcPr>
          <w:p>
            <w:pPr>
              <w:spacing w:after="0" w:before="0"/>
            </w:pPr>
            <w:r/>
            <w:r>
              <w:rPr>
                <w:b w:val="0"/>
                <w:sz w:val="13"/>
              </w:rPr>
              <w:t>Quote/compare within normal scholarly limits; do not assert open-reuse licence.</w:t>
            </w:r>
          </w:p>
        </w:tc>
      </w:tr>
      <w:tr>
        <w:trPr>
          <w:cantSplit/>
        </w:trPr>
        <w:tc>
          <w:tcPr>
            <w:tcW w:type="dxa" w:w="2154"/>
            <w:vAlign w:val="center"/>
          </w:tcPr>
          <w:p>
            <w:pPr>
              <w:spacing w:after="0" w:before="0"/>
            </w:pPr>
            <w:r/>
            <w:r>
              <w:rPr>
                <w:b w:val="0"/>
                <w:sz w:val="13"/>
              </w:rPr>
              <w:t>DOI 18499943</w:t>
            </w:r>
          </w:p>
        </w:tc>
        <w:tc>
          <w:tcPr>
            <w:tcW w:type="dxa" w:w="1531"/>
            <w:vAlign w:val="center"/>
          </w:tcPr>
          <w:p>
            <w:pPr>
              <w:spacing w:after="0" w:before="0"/>
            </w:pPr>
            <w:r/>
            <w:r>
              <w:rPr>
                <w:b w:val="0"/>
                <w:sz w:val="13"/>
              </w:rPr>
              <w:t>Software documentation</w:t>
            </w:r>
          </w:p>
        </w:tc>
        <w:tc>
          <w:tcPr>
            <w:tcW w:type="dxa" w:w="3005"/>
            <w:vAlign w:val="center"/>
          </w:tcPr>
          <w:p>
            <w:pPr>
              <w:spacing w:after="0" w:before="0"/>
            </w:pPr>
            <w:r/>
            <w:r>
              <w:rPr>
                <w:b w:val="0"/>
                <w:sz w:val="13"/>
              </w:rPr>
              <w:t>Zenodo: CC BY 4.0; body: Creative-Ethic BY/BY-PRO</w:t>
            </w:r>
          </w:p>
        </w:tc>
        <w:tc>
          <w:tcPr>
            <w:tcW w:type="dxa" w:w="1814"/>
            <w:vAlign w:val="center"/>
          </w:tcPr>
          <w:p>
            <w:pPr>
              <w:spacing w:after="0" w:before="0"/>
            </w:pPr>
            <w:r/>
            <w:r>
              <w:rPr>
                <w:b w:val="0"/>
                <w:sz w:val="13"/>
              </w:rPr>
              <w:t>BLOCKING CONFLICT</w:t>
            </w:r>
          </w:p>
        </w:tc>
        <w:tc>
          <w:tcPr>
            <w:tcW w:type="dxa" w:w="3685"/>
            <w:vAlign w:val="center"/>
          </w:tcPr>
          <w:p>
            <w:pPr>
              <w:spacing w:after="0" w:before="0"/>
            </w:pPr>
            <w:r/>
            <w:r>
              <w:rPr>
                <w:b w:val="0"/>
                <w:sz w:val="13"/>
              </w:rPr>
              <w:t>Do not normalize conflict silently; resolve at source before reuse policy is stated.</w:t>
            </w:r>
          </w:p>
        </w:tc>
      </w:tr>
      <w:tr>
        <w:trPr>
          <w:cantSplit/>
        </w:trPr>
        <w:tc>
          <w:tcPr>
            <w:tcW w:type="dxa" w:w="2154"/>
            <w:vAlign w:val="center"/>
          </w:tcPr>
          <w:p>
            <w:pPr>
              <w:spacing w:after="0" w:before="0"/>
            </w:pPr>
            <w:r/>
            <w:r>
              <w:rPr>
                <w:b w:val="0"/>
                <w:sz w:val="13"/>
              </w:rPr>
              <w:t>DOI 18500363</w:t>
            </w:r>
          </w:p>
        </w:tc>
        <w:tc>
          <w:tcPr>
            <w:tcW w:type="dxa" w:w="1531"/>
            <w:vAlign w:val="center"/>
          </w:tcPr>
          <w:p>
            <w:pPr>
              <w:spacing w:after="0" w:before="0"/>
            </w:pPr>
            <w:r/>
            <w:r>
              <w:rPr>
                <w:b w:val="0"/>
                <w:sz w:val="13"/>
              </w:rPr>
              <w:t>Report + Markdown suite</w:t>
            </w:r>
          </w:p>
        </w:tc>
        <w:tc>
          <w:tcPr>
            <w:tcW w:type="dxa" w:w="3005"/>
            <w:vAlign w:val="center"/>
          </w:tcPr>
          <w:p>
            <w:pPr>
              <w:spacing w:after="0" w:before="0"/>
            </w:pPr>
            <w:r/>
            <w:r>
              <w:rPr>
                <w:b w:val="0"/>
                <w:sz w:val="13"/>
              </w:rPr>
              <w:t>CC BY 4.0</w:t>
            </w:r>
          </w:p>
        </w:tc>
        <w:tc>
          <w:tcPr>
            <w:tcW w:type="dxa" w:w="1814"/>
            <w:vAlign w:val="center"/>
          </w:tcPr>
          <w:p>
            <w:pPr>
              <w:spacing w:after="0" w:before="0"/>
            </w:pPr>
            <w:r/>
            <w:r>
              <w:rPr>
                <w:b w:val="0"/>
                <w:sz w:val="13"/>
              </w:rPr>
              <w:t>VERIFIED</w:t>
            </w:r>
          </w:p>
        </w:tc>
        <w:tc>
          <w:tcPr>
            <w:tcW w:type="dxa" w:w="3685"/>
            <w:vAlign w:val="center"/>
          </w:tcPr>
          <w:p>
            <w:pPr>
              <w:spacing w:after="0" w:before="0"/>
            </w:pPr>
            <w:r/>
            <w:r>
              <w:rPr>
                <w:b w:val="0"/>
                <w:sz w:val="13"/>
              </w:rPr>
              <w:t>Reuse permitted with attribution under stated metadata licence.</w:t>
            </w:r>
          </w:p>
        </w:tc>
      </w:tr>
      <w:tr>
        <w:trPr>
          <w:cantSplit/>
        </w:trPr>
        <w:tc>
          <w:tcPr>
            <w:tcW w:type="dxa" w:w="2154"/>
            <w:vAlign w:val="center"/>
          </w:tcPr>
          <w:p>
            <w:pPr>
              <w:spacing w:after="0" w:before="0"/>
            </w:pPr>
            <w:r/>
            <w:r>
              <w:rPr>
                <w:b w:val="0"/>
                <w:sz w:val="13"/>
              </w:rPr>
              <w:t>Hu &amp; Fan 2016</w:t>
            </w:r>
          </w:p>
        </w:tc>
        <w:tc>
          <w:tcPr>
            <w:tcW w:type="dxa" w:w="1531"/>
            <w:vAlign w:val="center"/>
          </w:tcPr>
          <w:p>
            <w:pPr>
              <w:spacing w:after="0" w:before="0"/>
            </w:pPr>
            <w:r/>
            <w:r>
              <w:rPr>
                <w:b w:val="0"/>
                <w:sz w:val="13"/>
              </w:rPr>
              <w:t>Article</w:t>
            </w:r>
          </w:p>
        </w:tc>
        <w:tc>
          <w:tcPr>
            <w:tcW w:type="dxa" w:w="3005"/>
            <w:vAlign w:val="center"/>
          </w:tcPr>
          <w:p>
            <w:pPr>
              <w:spacing w:after="0" w:before="0"/>
            </w:pPr>
            <w:r/>
            <w:r>
              <w:rPr>
                <w:b w:val="0"/>
                <w:sz w:val="13"/>
              </w:rPr>
              <w:t>CC BY 4.0</w:t>
            </w:r>
          </w:p>
        </w:tc>
        <w:tc>
          <w:tcPr>
            <w:tcW w:type="dxa" w:w="1814"/>
            <w:vAlign w:val="center"/>
          </w:tcPr>
          <w:p>
            <w:pPr>
              <w:spacing w:after="0" w:before="0"/>
            </w:pPr>
            <w:r/>
            <w:r>
              <w:rPr>
                <w:b w:val="0"/>
                <w:sz w:val="13"/>
              </w:rPr>
              <w:t>VERIFIED in prior pass</w:t>
            </w:r>
          </w:p>
        </w:tc>
        <w:tc>
          <w:tcPr>
            <w:tcW w:type="dxa" w:w="3685"/>
            <w:vAlign w:val="center"/>
          </w:tcPr>
          <w:p>
            <w:pPr>
              <w:spacing w:after="0" w:before="0"/>
            </w:pPr>
            <w:r/>
            <w:r>
              <w:rPr>
                <w:b w:val="0"/>
                <w:sz w:val="13"/>
              </w:rPr>
              <w:t>Open scholarly reuse with attribution.</w:t>
            </w:r>
          </w:p>
        </w:tc>
      </w:tr>
      <w:tr>
        <w:trPr>
          <w:cantSplit/>
        </w:trPr>
        <w:tc>
          <w:tcPr>
            <w:tcW w:type="dxa" w:w="2154"/>
            <w:vAlign w:val="center"/>
          </w:tcPr>
          <w:p>
            <w:pPr>
              <w:spacing w:after="0" w:before="0"/>
            </w:pPr>
            <w:r/>
            <w:r>
              <w:rPr>
                <w:b w:val="0"/>
                <w:sz w:val="13"/>
              </w:rPr>
              <w:t>Paton F.A.F.</w:t>
            </w:r>
          </w:p>
        </w:tc>
        <w:tc>
          <w:tcPr>
            <w:tcW w:type="dxa" w:w="1531"/>
            <w:vAlign w:val="center"/>
          </w:tcPr>
          <w:p>
            <w:pPr>
              <w:spacing w:after="0" w:before="0"/>
            </w:pPr>
            <w:r/>
            <w:r>
              <w:rPr>
                <w:b w:val="0"/>
                <w:sz w:val="13"/>
              </w:rPr>
              <w:t>Paper</w:t>
            </w:r>
          </w:p>
        </w:tc>
        <w:tc>
          <w:tcPr>
            <w:tcW w:type="dxa" w:w="3005"/>
            <w:vAlign w:val="center"/>
          </w:tcPr>
          <w:p>
            <w:pPr>
              <w:spacing w:after="0" w:before="0"/>
            </w:pPr>
            <w:r/>
            <w:r>
              <w:rPr>
                <w:b w:val="0"/>
                <w:sz w:val="13"/>
              </w:rPr>
              <w:t>CC BY 4.0 on inspected archive</w:t>
            </w:r>
          </w:p>
        </w:tc>
        <w:tc>
          <w:tcPr>
            <w:tcW w:type="dxa" w:w="1814"/>
            <w:vAlign w:val="center"/>
          </w:tcPr>
          <w:p>
            <w:pPr>
              <w:spacing w:after="0" w:before="0"/>
            </w:pPr>
            <w:r/>
            <w:r>
              <w:rPr>
                <w:b w:val="0"/>
                <w:sz w:val="13"/>
              </w:rPr>
              <w:t>VERIFIED in prior pass</w:t>
            </w:r>
          </w:p>
        </w:tc>
        <w:tc>
          <w:tcPr>
            <w:tcW w:type="dxa" w:w="3685"/>
            <w:vAlign w:val="center"/>
          </w:tcPr>
          <w:p>
            <w:pPr>
              <w:spacing w:after="0" w:before="0"/>
            </w:pPr>
            <w:r/>
            <w:r>
              <w:rPr>
                <w:b w:val="0"/>
                <w:sz w:val="13"/>
              </w:rPr>
              <w:t>Scientific comparison/reuse subject to attribution.</w:t>
            </w:r>
          </w:p>
        </w:tc>
      </w:tr>
      <w:tr>
        <w:trPr>
          <w:cantSplit/>
        </w:trPr>
        <w:tc>
          <w:tcPr>
            <w:tcW w:type="dxa" w:w="2154"/>
            <w:vAlign w:val="center"/>
          </w:tcPr>
          <w:p>
            <w:pPr>
              <w:spacing w:after="0" w:before="0"/>
            </w:pPr>
            <w:r/>
            <w:r>
              <w:rPr>
                <w:b w:val="0"/>
                <w:sz w:val="13"/>
              </w:rPr>
              <w:t>Bellori</w:t>
            </w:r>
          </w:p>
        </w:tc>
        <w:tc>
          <w:tcPr>
            <w:tcW w:type="dxa" w:w="1531"/>
            <w:vAlign w:val="center"/>
          </w:tcPr>
          <w:p>
            <w:pPr>
              <w:spacing w:after="0" w:before="0"/>
            </w:pPr>
            <w:r/>
            <w:r>
              <w:rPr>
                <w:b w:val="0"/>
                <w:sz w:val="13"/>
              </w:rPr>
              <w:t>Paper</w:t>
            </w:r>
          </w:p>
        </w:tc>
        <w:tc>
          <w:tcPr>
            <w:tcW w:type="dxa" w:w="3005"/>
            <w:vAlign w:val="center"/>
          </w:tcPr>
          <w:p>
            <w:pPr>
              <w:spacing w:after="0" w:before="0"/>
            </w:pPr>
            <w:r/>
            <w:r>
              <w:rPr>
                <w:b w:val="0"/>
                <w:sz w:val="13"/>
              </w:rPr>
              <w:t>All rights reserved on inspected source</w:t>
            </w:r>
          </w:p>
        </w:tc>
        <w:tc>
          <w:tcPr>
            <w:tcW w:type="dxa" w:w="1814"/>
            <w:vAlign w:val="center"/>
          </w:tcPr>
          <w:p>
            <w:pPr>
              <w:spacing w:after="0" w:before="0"/>
            </w:pPr>
            <w:r/>
            <w:r>
              <w:rPr>
                <w:b w:val="0"/>
                <w:sz w:val="13"/>
              </w:rPr>
              <w:t>VERIFIED in prior pass</w:t>
            </w:r>
          </w:p>
        </w:tc>
        <w:tc>
          <w:tcPr>
            <w:tcW w:type="dxa" w:w="3685"/>
            <w:vAlign w:val="center"/>
          </w:tcPr>
          <w:p>
            <w:pPr>
              <w:spacing w:after="0" w:before="0"/>
            </w:pPr>
            <w:r/>
            <w:r>
              <w:rPr>
                <w:b w:val="0"/>
                <w:sz w:val="13"/>
              </w:rPr>
              <w:t>Compare/fair quotation only; no code/text reuse inferred.</w:t>
            </w:r>
          </w:p>
        </w:tc>
      </w:tr>
      <w:tr>
        <w:trPr>
          <w:cantSplit/>
        </w:trPr>
        <w:tc>
          <w:tcPr>
            <w:tcW w:type="dxa" w:w="2154"/>
            <w:vAlign w:val="center"/>
          </w:tcPr>
          <w:p>
            <w:pPr>
              <w:spacing w:after="0" w:before="0"/>
            </w:pPr>
            <w:r/>
            <w:r>
              <w:rPr>
                <w:b w:val="0"/>
                <w:sz w:val="13"/>
              </w:rPr>
              <w:t>Al-Mayahi</w:t>
            </w:r>
          </w:p>
        </w:tc>
        <w:tc>
          <w:tcPr>
            <w:tcW w:type="dxa" w:w="1531"/>
            <w:vAlign w:val="center"/>
          </w:tcPr>
          <w:p>
            <w:pPr>
              <w:spacing w:after="0" w:before="0"/>
            </w:pPr>
            <w:r/>
            <w:r>
              <w:rPr>
                <w:b w:val="0"/>
                <w:sz w:val="13"/>
              </w:rPr>
              <w:t>Paper / associated claims</w:t>
            </w:r>
          </w:p>
        </w:tc>
        <w:tc>
          <w:tcPr>
            <w:tcW w:type="dxa" w:w="3005"/>
            <w:vAlign w:val="center"/>
          </w:tcPr>
          <w:p>
            <w:pPr>
              <w:spacing w:after="0" w:before="0"/>
            </w:pPr>
            <w:r/>
            <w:r>
              <w:rPr>
                <w:b w:val="0"/>
                <w:sz w:val="13"/>
              </w:rPr>
              <w:t>Record-specific licence/patent restrictions noted</w:t>
            </w:r>
          </w:p>
        </w:tc>
        <w:tc>
          <w:tcPr>
            <w:tcW w:type="dxa" w:w="1814"/>
            <w:vAlign w:val="center"/>
          </w:tcPr>
          <w:p>
            <w:pPr>
              <w:spacing w:after="0" w:before="0"/>
            </w:pPr>
            <w:r/>
            <w:r>
              <w:rPr>
                <w:b w:val="0"/>
                <w:sz w:val="13"/>
              </w:rPr>
              <w:t>SEPARATE LEGAL TRACK</w:t>
            </w:r>
          </w:p>
        </w:tc>
        <w:tc>
          <w:tcPr>
            <w:tcW w:type="dxa" w:w="3685"/>
            <w:vAlign w:val="center"/>
          </w:tcPr>
          <w:p>
            <w:pPr>
              <w:spacing w:after="0" w:before="0"/>
            </w:pPr>
            <w:r/>
            <w:r>
              <w:rPr>
                <w:b w:val="0"/>
                <w:sz w:val="13"/>
              </w:rPr>
              <w:t>Scientific comparison does not imply implementation reuse.</w:t>
            </w:r>
          </w:p>
        </w:tc>
      </w:tr>
      <w:tr>
        <w:trPr>
          <w:cantSplit/>
        </w:trPr>
        <w:tc>
          <w:tcPr>
            <w:tcW w:type="dxa" w:w="2154"/>
            <w:vAlign w:val="center"/>
          </w:tcPr>
          <w:p>
            <w:pPr>
              <w:spacing w:after="0" w:before="0"/>
            </w:pPr>
            <w:r/>
            <w:r>
              <w:rPr>
                <w:b w:val="0"/>
                <w:sz w:val="13"/>
              </w:rPr>
              <w:t>W3C PROV-O</w:t>
            </w:r>
          </w:p>
        </w:tc>
        <w:tc>
          <w:tcPr>
            <w:tcW w:type="dxa" w:w="1531"/>
            <w:vAlign w:val="center"/>
          </w:tcPr>
          <w:p>
            <w:pPr>
              <w:spacing w:after="0" w:before="0"/>
            </w:pPr>
            <w:r/>
            <w:r>
              <w:rPr>
                <w:b w:val="0"/>
                <w:sz w:val="13"/>
              </w:rPr>
              <w:t>Standard</w:t>
            </w:r>
          </w:p>
        </w:tc>
        <w:tc>
          <w:tcPr>
            <w:tcW w:type="dxa" w:w="3005"/>
            <w:vAlign w:val="center"/>
          </w:tcPr>
          <w:p>
            <w:pPr>
              <w:spacing w:after="0" w:before="0"/>
            </w:pPr>
            <w:r/>
            <w:r>
              <w:rPr>
                <w:b w:val="0"/>
                <w:sz w:val="13"/>
              </w:rPr>
              <w:t>W3C document licence/rules</w:t>
            </w:r>
          </w:p>
        </w:tc>
        <w:tc>
          <w:tcPr>
            <w:tcW w:type="dxa" w:w="1814"/>
            <w:vAlign w:val="center"/>
          </w:tcPr>
          <w:p>
            <w:pPr>
              <w:spacing w:after="0" w:before="0"/>
            </w:pPr>
            <w:r/>
            <w:r>
              <w:rPr>
                <w:b w:val="0"/>
                <w:sz w:val="13"/>
              </w:rPr>
              <w:t>VERIFIED SOURCE</w:t>
            </w:r>
          </w:p>
        </w:tc>
        <w:tc>
          <w:tcPr>
            <w:tcW w:type="dxa" w:w="3685"/>
            <w:vAlign w:val="center"/>
          </w:tcPr>
          <w:p>
            <w:pPr>
              <w:spacing w:after="0" w:before="0"/>
            </w:pPr>
            <w:r/>
            <w:r>
              <w:rPr>
                <w:b w:val="0"/>
                <w:sz w:val="13"/>
              </w:rPr>
              <w:t>Reference standard; reuse governed by W3C terms.</w:t>
            </w:r>
          </w:p>
        </w:tc>
      </w:tr>
      <w:tr>
        <w:trPr>
          <w:cantSplit/>
        </w:trPr>
        <w:tc>
          <w:tcPr>
            <w:tcW w:type="dxa" w:w="2154"/>
            <w:vAlign w:val="center"/>
          </w:tcPr>
          <w:p>
            <w:pPr>
              <w:spacing w:after="0" w:before="0"/>
            </w:pPr>
            <w:r/>
            <w:r>
              <w:rPr>
                <w:b w:val="0"/>
                <w:sz w:val="13"/>
              </w:rPr>
              <w:t>Proof-Carrying Code 1997</w:t>
            </w:r>
          </w:p>
        </w:tc>
        <w:tc>
          <w:tcPr>
            <w:tcW w:type="dxa" w:w="1531"/>
            <w:vAlign w:val="center"/>
          </w:tcPr>
          <w:p>
            <w:pPr>
              <w:spacing w:after="0" w:before="0"/>
            </w:pPr>
            <w:r/>
            <w:r>
              <w:rPr>
                <w:b w:val="0"/>
                <w:sz w:val="13"/>
              </w:rPr>
              <w:t>ACM paper</w:t>
            </w:r>
          </w:p>
        </w:tc>
        <w:tc>
          <w:tcPr>
            <w:tcW w:type="dxa" w:w="3005"/>
            <w:vAlign w:val="center"/>
          </w:tcPr>
          <w:p>
            <w:pPr>
              <w:spacing w:after="0" w:before="0"/>
            </w:pPr>
            <w:r/>
            <w:r>
              <w:rPr>
                <w:b w:val="0"/>
                <w:sz w:val="13"/>
              </w:rPr>
              <w:t>Publisher rights</w:t>
            </w:r>
          </w:p>
        </w:tc>
        <w:tc>
          <w:tcPr>
            <w:tcW w:type="dxa" w:w="1814"/>
            <w:vAlign w:val="center"/>
          </w:tcPr>
          <w:p>
            <w:pPr>
              <w:spacing w:after="0" w:before="0"/>
            </w:pPr>
            <w:r/>
            <w:r>
              <w:rPr>
                <w:b w:val="0"/>
                <w:sz w:val="13"/>
              </w:rPr>
              <w:t>VERIFIED SOURCE</w:t>
            </w:r>
          </w:p>
        </w:tc>
        <w:tc>
          <w:tcPr>
            <w:tcW w:type="dxa" w:w="3685"/>
            <w:vAlign w:val="center"/>
          </w:tcPr>
          <w:p>
            <w:pPr>
              <w:spacing w:after="0" w:before="0"/>
            </w:pPr>
            <w:r/>
            <w:r>
              <w:rPr>
                <w:b w:val="0"/>
                <w:sz w:val="13"/>
              </w:rPr>
              <w:t>Ideas/facts comparable; text reuse restricted by publisher terms.</w:t>
            </w:r>
          </w:p>
        </w:tc>
      </w:tr>
      <w:tr>
        <w:trPr>
          <w:cantSplit/>
        </w:trPr>
        <w:tc>
          <w:tcPr>
            <w:tcW w:type="dxa" w:w="2154"/>
            <w:vAlign w:val="center"/>
          </w:tcPr>
          <w:p>
            <w:pPr>
              <w:spacing w:after="0" w:before="0"/>
            </w:pPr>
            <w:r/>
            <w:r>
              <w:rPr>
                <w:b w:val="0"/>
                <w:sz w:val="13"/>
              </w:rPr>
              <w:t>Chow 1970</w:t>
            </w:r>
          </w:p>
        </w:tc>
        <w:tc>
          <w:tcPr>
            <w:tcW w:type="dxa" w:w="1531"/>
            <w:vAlign w:val="center"/>
          </w:tcPr>
          <w:p>
            <w:pPr>
              <w:spacing w:after="0" w:before="0"/>
            </w:pPr>
            <w:r/>
            <w:r>
              <w:rPr>
                <w:b w:val="0"/>
                <w:sz w:val="13"/>
              </w:rPr>
              <w:t>IEEE paper</w:t>
            </w:r>
          </w:p>
        </w:tc>
        <w:tc>
          <w:tcPr>
            <w:tcW w:type="dxa" w:w="3005"/>
            <w:vAlign w:val="center"/>
          </w:tcPr>
          <w:p>
            <w:pPr>
              <w:spacing w:after="0" w:before="0"/>
            </w:pPr>
            <w:r/>
            <w:r>
              <w:rPr>
                <w:b w:val="0"/>
                <w:sz w:val="13"/>
              </w:rPr>
              <w:t>IEEE copyright</w:t>
            </w:r>
          </w:p>
        </w:tc>
        <w:tc>
          <w:tcPr>
            <w:tcW w:type="dxa" w:w="1814"/>
            <w:vAlign w:val="center"/>
          </w:tcPr>
          <w:p>
            <w:pPr>
              <w:spacing w:after="0" w:before="0"/>
            </w:pPr>
            <w:r/>
            <w:r>
              <w:rPr>
                <w:b w:val="0"/>
                <w:sz w:val="13"/>
              </w:rPr>
              <w:t>VERIFIED SOURCE</w:t>
            </w:r>
          </w:p>
        </w:tc>
        <w:tc>
          <w:tcPr>
            <w:tcW w:type="dxa" w:w="3685"/>
            <w:vAlign w:val="center"/>
          </w:tcPr>
          <w:p>
            <w:pPr>
              <w:spacing w:after="0" w:before="0"/>
            </w:pPr>
            <w:r/>
            <w:r>
              <w:rPr>
                <w:b w:val="0"/>
                <w:sz w:val="13"/>
              </w:rPr>
              <w:t>Historical prior art; text reuse restricted by publisher terms.</w:t>
            </w:r>
          </w:p>
        </w:tc>
      </w:tr>
    </w:tbl>
    <w:p>
      <w:pPr>
        <w:pStyle w:val="Heading1"/>
        <w:keepNext/>
        <w:keepLines/>
      </w:pPr>
      <w:r>
        <w:t>41. Pass 6 conclusions</w:t>
      </w:r>
    </w:p>
    <w:p>
      <w:pPr>
        <w:spacing w:after="100"/>
      </w:pPr>
      <w:r>
        <w:rPr>
          <w:b/>
        </w:rPr>
        <w:t xml:space="preserve">1 — EVIDENCE CLASSES NOW SEPARATED — </w:t>
      </w:r>
      <w:r>
        <w:t>A simulation vector, dataset row, AI-model run, red-team prompt, falsification attempt and independent replication are no longer interchangeable anywhere in the atlas. Counts must retain their evidence type.</w:t>
      </w:r>
    </w:p>
    <w:p>
      <w:pPr>
        <w:spacing w:after="100"/>
      </w:pPr>
      <w:r>
        <w:rPr>
          <w:b/>
        </w:rPr>
        <w:t xml:space="preserve">2 — PITON+ REPRODUCED, CLAIM NARROWED — </w:t>
      </w:r>
      <w:r>
        <w:t>The public synthetic sweep is numerically reproducible across 1,000,000 independently regenerated vectors: mean P(S&gt;1)=89.5891%. This validates code behavior under chosen distributions, not universality of the law.</w:t>
      </w:r>
    </w:p>
    <w:p>
      <w:pPr>
        <w:spacing w:after="100"/>
      </w:pPr>
      <w:r>
        <w:rPr>
          <w:b/>
        </w:rPr>
        <w:t xml:space="preserve">3 — Ω∞ IS A PROTOTYPE, NOT A CERTIFIED DISTRIBUTED FALSIFICATION NETWORK — </w:t>
      </w:r>
      <w:r>
        <w:t>DOI 17804030 is a genuine dated executable-paper concept, but the visible implementation covers less than the prose claims and does not establish distributed consensus, full PNT/RH testing, or proof-of-computation over processor state.</w:t>
      </w:r>
    </w:p>
    <w:p>
      <w:pPr>
        <w:spacing w:after="100"/>
      </w:pPr>
      <w:r>
        <w:rPr>
          <w:b/>
        </w:rPr>
        <w:t xml:space="preserve">4 — OUTPUT-ONLY ADMISSIBILITY IS FORMAL BUT NOT YET UNIVERSALLY BENCHMARKED — </w:t>
      </w:r>
      <w:r>
        <w:t>DOI 18500363 supplies explicit axioms and falsification cases. Non-circumventability remains to be measured against systematic adversarial transformations and independent implementations.</w:t>
      </w:r>
    </w:p>
    <w:p>
      <w:pPr>
        <w:spacing w:after="100"/>
      </w:pPr>
      <w:r>
        <w:rPr>
          <w:b/>
        </w:rPr>
        <w:t xml:space="preserve">5 — METADATA/LICENCE DEBT IS SCIENTIFIC DEBT — </w:t>
      </w:r>
      <w:r>
        <w:t>The 18499943 licence conflict and 18526755 identity conflict are blocking for a final referencable edition. Priority cannot be certified from ambiguous bibliographic identity.</w:t>
      </w:r>
    </w:p>
    <w:p>
      <w:pPr>
        <w:spacing w:after="100"/>
      </w:pPr>
      <w:r>
        <w:rPr>
          <w:b/>
        </w:rPr>
        <w:t xml:space="preserve">6 — ASSEMBLY PRIORITY REMAINS OPEN, WITH A HIGHER BURDEN — </w:t>
      </w:r>
      <w:r>
        <w:t>Pass 6 adds older reject-option, proof-carrying, provenance and non-compensatory decision lineages. No exact full conjunction is certified, but the search burden is now explicitly combinatorial rather than ingredient-level.</w:t>
      </w:r>
    </w:p>
    <w:p>
      <w:pPr>
        <w:spacing w:after="100"/>
      </w:pPr>
      <w:r>
        <w:rPr>
          <w:b/>
        </w:rPr>
        <w:t xml:space="preserve">7 — NO GLOBAL S SCORE IS CERTIFIED FOR THIS PASS — </w:t>
      </w:r>
      <w:r>
        <w:t>The document-level β, ΔΦ, T and σ are not independently calibrated observables for the audit itself. Therefore S&gt;9 or any other numeric certification would be circular or fabricated and remains NON_MESURÉ.</w:t>
      </w:r>
    </w:p>
    <w:p>
      <w:pPr>
        <w:pStyle w:val="Heading1"/>
        <w:keepNext/>
        <w:keepLines/>
      </w:pPr>
      <w:r>
        <w:t>42. Sources added or resolved in Pass 6</w:t>
      </w:r>
    </w:p>
    <w:p>
      <w:pPr>
        <w:pStyle w:val="Bibliography"/>
        <w:spacing w:after="40"/>
      </w:pPr>
      <w:r>
        <w:t>Tabary, F. &amp; Cartier Tabary, S. (2025). WHITEPAPER — PROTOCOLE DE FALSIFICATION DISTRIBUÉE. Zenodo, 3 Dec 2025. DOI: 10.5281/zenodo.17804030.</w:t>
      </w:r>
    </w:p>
    <w:p>
      <w:pPr>
        <w:pStyle w:val="Bibliography"/>
        <w:spacing w:after="40"/>
      </w:pPr>
      <w:r>
        <w:t>Tabary, F. (2026). La falsification devient possible maintenant, grâce aux LLM — mais seulement si on les utilise correctement. Zenodo, 5 Feb 2026. DOI: 10.5281/zenodo.18497598.</w:t>
      </w:r>
    </w:p>
    <w:p>
      <w:pPr>
        <w:pStyle w:val="Bibliography"/>
        <w:spacing w:after="40"/>
      </w:pPr>
      <w:r>
        <w:t>Tabary, F. (2026). IA scientifique : Formulation, test et implémentation d’une contrainte de cohérence applicable à la production scientifique assistée par IA. Zenodo, 5 Feb 2026. DOI: 10.5281/zenodo.18499943.</w:t>
      </w:r>
    </w:p>
    <w:p>
      <w:pPr>
        <w:pStyle w:val="Bibliography"/>
        <w:spacing w:after="40"/>
      </w:pPr>
      <w:r>
        <w:t>Tabary, F. (2026). Admissibilité structurelle des sorties d’IA — Un cadre sortie-only fondé sur la cohérence, non contournable par reformulation ou reset. Zenodo, 5 Feb 2026. DOI: 10.5281/zenodo.18500363.</w:t>
      </w:r>
    </w:p>
    <w:p>
      <w:pPr>
        <w:pStyle w:val="Bibliography"/>
        <w:spacing w:after="40"/>
      </w:pPr>
      <w:r>
        <w:t>Zoran-IA-Mimetique. PITON_PLUS.py, Zoran-Omega-Infinite-Engine-v1. Public MIT-licensed code inspected 26 Aug 2026.</w:t>
      </w:r>
    </w:p>
    <w:p>
      <w:pPr>
        <w:pStyle w:val="Bibliography"/>
        <w:spacing w:after="40"/>
      </w:pPr>
      <w:r>
        <w:t>Chow, C. K. (1970). On optimum recognition error and reject tradeoff. IEEE Transactions on Information Theory 16(1), 41–46. DOI: 10.1109/TIT.1970.1054406.</w:t>
      </w:r>
    </w:p>
    <w:p>
      <w:pPr>
        <w:pStyle w:val="Bibliography"/>
        <w:spacing w:after="40"/>
      </w:pPr>
      <w:r>
        <w:t>Necula, G. C. (1997). Proof-carrying code. POPL ’97, 106–119. DOI: 10.1145/263699.263712.</w:t>
      </w:r>
    </w:p>
    <w:p>
      <w:pPr>
        <w:pStyle w:val="Bibliography"/>
        <w:spacing w:after="40"/>
      </w:pPr>
      <w:r>
        <w:t>Figueira, J. R., Greco, S., Roy, B. &amp; Słowiński, R. (2013). An Overview of ELECTRE Methods and their Recent Extensions. Journal of Multi-Criteria Decision Analysis 20(1–2), 61–85. DOI: 10.1002/mcda.1482.</w:t>
      </w:r>
    </w:p>
    <w:p>
      <w:pPr>
        <w:pStyle w:val="Bibliography"/>
        <w:spacing w:after="40"/>
      </w:pPr>
      <w:r>
        <w:t>W3C (2013). PROV-O: The PROV Ontology. W3C Recommendation, 30 Apr 2013.</w:t>
      </w:r>
    </w:p>
    <w:p>
      <w:pPr>
        <w:pStyle w:val="Bibliography"/>
        <w:spacing w:after="40"/>
      </w:pPr>
      <w:r>
        <w:t>RO-Crate / Workflow Run RO-Crate lineage: research-object packaging and workflow provenance references consulted in Pass 6; exact bibliographic consolidation carried to the final reference pass.</w:t>
      </w:r>
    </w:p>
    <w:p>
      <w:pPr>
        <w:pStyle w:val="Bibliography"/>
        <w:spacing w:after="40"/>
      </w:pPr>
      <w:r>
        <w:t>PITON+ Pass-6 independent numerical audit artefact: 10 seeded runs × 100,000 synthetic vectors, generated 26 Aug 2026; local JSON retained with the working paper audit.</w:t>
      </w:r>
    </w:p>
    <w:p>
      <w:pPr>
        <w:pStyle w:val="Heading1"/>
        <w:keepNext/>
        <w:keepLines/>
      </w:pPr>
      <w:r>
        <w:t>43. Work carried to Pass 7/10</w:t>
      </w:r>
    </w:p>
    <w:p>
      <w:pPr>
        <w:pStyle w:val="ListBullet"/>
      </w:pPr>
      <w:r>
        <w:t>Build discriminating experiments that can distinguish Zoran from UCP, Paton, Bostick, Al-Mayahi and simple reject/veto baselines rather than merely showing that each framework can describe the same case.</w:t>
      </w:r>
    </w:p>
    <w:p>
      <w:pPr>
        <w:pStyle w:val="ListBullet"/>
      </w:pPr>
      <w:r>
        <w:t>Perform a dimensional/unit audit of every equation and proxy used in the transformation matrix; label dimensionless gauges, dimensional observables and mixed-semantic ratios explicitly.</w:t>
      </w:r>
    </w:p>
    <w:p>
      <w:pPr>
        <w:pStyle w:val="ListBullet"/>
      </w:pPr>
      <w:r>
        <w:t>Pre-register null hypotheses, datasets, thresholds, counterexamples and stopping rules for a cross-domain falsification benchmark; no threshold may be chosen after observing the test outcome.</w:t>
      </w:r>
    </w:p>
    <w:p>
      <w:pPr>
        <w:pStyle w:val="ListBullet"/>
      </w:pPr>
      <w:r>
        <w:t>For output-only admissibility, implement or recover an explicit π/μ evaluator and measure false-accept, false-refuse, reformulation robustness and reset invariance on a held-out adversarial corpus.</w:t>
      </w:r>
    </w:p>
    <w:p>
      <w:pPr>
        <w:pStyle w:val="ListBullet"/>
      </w:pPr>
      <w:r>
        <w:t>For Ω∞, recover an original executable Python source if one exists outside the localized Zenodo HTML rendering; run bounded correctness tests against known Mertens/Goldbach values before any performance claim.</w:t>
      </w:r>
    </w:p>
    <w:p>
      <w:pPr>
        <w:pStyle w:val="ListBullet"/>
      </w:pPr>
      <w:r>
        <w:t>Resolve DOI 18526755 identity/date metadata and DOI 18499943 licence conflict before the final Scholar-ready edition.</w:t>
      </w:r>
    </w:p>
    <w:p>
      <w:pPr>
        <w:pStyle w:val="ListBullet"/>
      </w:pPr>
      <w:r>
        <w:t>Continue exact-combination prior art only against the now fixed assembly definition; do not expand or shrink the conjunction after search results are known.</w:t>
      </w:r>
    </w:p>
    <w:p>
      <w:r>
        <w:t>Working canonical gauge retained for this pass: S = (β × ΔΦ) / (T × σ × 1). The ×1 factor is mathematically neutral. No document-level numeric S certification is claimed because the audit operands are not independently calibrated.</w:t>
      </w:r>
    </w:p>
    <w:p>
      <w:r>
        <w:br w:type="page"/>
      </w:r>
    </w:p>
    <w:p>
      <w:pPr>
        <w:pStyle w:val="Heading1"/>
      </w:pPr>
      <w:r>
        <w:t>44. Pass 7/10 — Discriminant falsification, dimensional audit and preregistered benchmark</w:t>
      </w:r>
    </w:p>
    <w:p>
      <w:r>
        <w:t>Purpose — Convert “these frameworks look related” into tests that can make them disagree. This pass distinguishes formal non-equivalence from empirical predictive superiority. A controlled counterexample can refute functional equivalence, but it cannot by itself show that one framework predicts real systems better than another.</w:t>
      </w:r>
    </w:p>
    <w:p>
      <w:pPr/>
      <w:r>
        <w:t>Audit date — 26 August 2026. All benchmark thresholds and stopping rules below are fixed before any confirmatory empirical execution.</w:t>
      </w:r>
    </w:p>
    <w:p>
      <w:pPr>
        <w:pStyle w:val="Heading2"/>
      </w:pPr>
      <w:r>
        <w:t>44.1 Fixed comparison objects</w:t>
      </w:r>
    </w:p>
    <w:p>
      <w:pPr>
        <w:pStyle w:val="ListBullet"/>
        <w:spacing w:after="60"/>
      </w:pPr>
      <w:r>
        <w:t>Z-MF audit projection (derived for this benchmark, not claimed as a new canonical historical equation): compute one S_j=β_j·ΔΦ_j/(T_j·σ_j) per declared frame; REFUSE if any measured critical frame is below the preregistered synthetic threshold; NON_MESURÉ if a required frame operand is missing. This encodes the non-compensatory/missing-frame logic already attributed to the Zoran programme.</w:t>
      </w:r>
    </w:p>
    <w:p>
      <w:pPr>
        <w:pStyle w:val="ListBullet"/>
        <w:spacing w:after="60"/>
      </w:pPr>
      <w:r>
        <w:t>Mean-threshold baseline: accept when the arithmetic mean of available frame scores is at or above the same synthetic threshold. It is intentionally compensatory and serves only as a control.</w:t>
      </w:r>
    </w:p>
    <w:p>
      <w:pPr>
        <w:pStyle w:val="ListBullet"/>
        <w:spacing w:after="60"/>
      </w:pPr>
      <w:r>
        <w:t>Paton: State ∈ System iff Admissible ∧ Reachable; the remaining formal delta identified in Pass 4 is explicit path/reachability information.</w:t>
      </w:r>
    </w:p>
    <w:p>
      <w:pPr>
        <w:pStyle w:val="ListBullet"/>
        <w:spacing w:after="60"/>
      </w:pPr>
      <w:r>
        <w:t>UCP: dC/dt = α(R,W,A)·R·W·A − βC + η; comparison concerns sign/magnitude of dynamics, not only equilibrium ratio.</w:t>
      </w:r>
    </w:p>
    <w:p>
      <w:pPr>
        <w:pStyle w:val="ListBullet"/>
        <w:spacing w:after="60"/>
      </w:pPr>
      <w:r>
        <w:t>Bostick/SRD: persistence is phase-alignment plus bounded drift, PAS_h ≥ θ_L ∧ ΔPAS_ζ ≤ ε_drift; the differential form carries additional dynamics.</w:t>
      </w:r>
    </w:p>
    <w:p>
      <w:pPr>
        <w:pStyle w:val="ListBullet"/>
        <w:spacing w:after="60"/>
      </w:pPr>
      <w:r>
        <w:t>Al-Mayahi/ULSP: C=I(S;E)/H(S), dW/dt=γ(C−C_crit)W; persistence derivative depends on W and γ in addition to the coherence scalar.</w:t>
      </w:r>
    </w:p>
    <w:p>
      <w:pPr/>
      <w:r>
        <w:t>Benchmark-note — θ_Z=1, θ_PAS=0.8 and ε_drift=0.01 are synthetic audit conventions frozen for the countermodel suite only. They are not backdated as canonical thresholds of the cited programmes.</w:t>
      </w:r>
    </w:p>
    <w:p>
      <w:pPr>
        <w:sectPr>
          <w:headerReference w:type="default" r:id="rId14"/>
          <w:pgSz w:w="11909" w:h="16834"/>
          <w:pgMar w:top="1008" w:right="1080" w:bottom="936" w:left="1080" w:header="720" w:footer="720" w:gutter="0"/>
          <w:cols w:space="720"/>
          <w:docGrid w:linePitch="360"/>
        </w:sectPr>
      </w:pPr>
    </w:p>
    <w:p>
      <w:pPr>
        <w:pStyle w:val="Heading2"/>
      </w:pPr>
      <w:r>
        <w:t>44.2 Formal discriminant countermodels — executed audit suite</w:t>
      </w:r>
    </w:p>
    <w:tbl>
      <w:tblPr>
        <w:tblStyle w:val="TableGrid"/>
        <w:tblW w:type="auto" w:w="0"/>
        <w:tblLook w:firstColumn="1" w:firstRow="1" w:lastColumn="0" w:lastRow="0" w:noHBand="0" w:noVBand="1" w:val="04A0"/>
      </w:tblPr>
      <w:tblGrid>
        <w:gridCol w:w="2590"/>
        <w:gridCol w:w="2590"/>
        <w:gridCol w:w="2590"/>
        <w:gridCol w:w="2590"/>
        <w:gridCol w:w="2590"/>
        <w:gridCol w:w="2590"/>
      </w:tblGrid>
      <w:tr>
        <w:trPr>
          <w:tblHeader w:val="true"/>
        </w:trPr>
        <w:tc>
          <w:tcPr>
            <w:tcW w:type="dxa" w:w="2590"/>
            <w:vAlign w:val="center"/>
            <w:shd w:fill="D9EAF7"/>
          </w:tcPr>
          <w:p>
            <w:pPr>
              <w:spacing w:after="0" w:before="0"/>
            </w:pPr>
            <w:r/>
            <w:r>
              <w:rPr>
                <w:b/>
                <w:sz w:val="14"/>
              </w:rPr>
              <w:t>ID</w:t>
            </w:r>
          </w:p>
        </w:tc>
        <w:tc>
          <w:tcPr>
            <w:tcW w:type="dxa" w:w="2590"/>
            <w:vAlign w:val="center"/>
            <w:shd w:fill="D9EAF7"/>
          </w:tcPr>
          <w:p>
            <w:pPr>
              <w:spacing w:after="0" w:before="0"/>
            </w:pPr>
            <w:r/>
            <w:r>
              <w:rPr>
                <w:b/>
                <w:sz w:val="14"/>
              </w:rPr>
              <w:t>Controlled discriminator</w:t>
            </w:r>
          </w:p>
        </w:tc>
        <w:tc>
          <w:tcPr>
            <w:tcW w:type="dxa" w:w="2590"/>
            <w:vAlign w:val="center"/>
            <w:shd w:fill="D9EAF7"/>
          </w:tcPr>
          <w:p>
            <w:pPr>
              <w:spacing w:after="0" w:before="0"/>
            </w:pPr>
            <w:r/>
            <w:r>
              <w:rPr>
                <w:b/>
                <w:sz w:val="14"/>
              </w:rPr>
              <w:t>Fixed inputs</w:t>
            </w:r>
          </w:p>
        </w:tc>
        <w:tc>
          <w:tcPr>
            <w:tcW w:type="dxa" w:w="2590"/>
            <w:vAlign w:val="center"/>
            <w:shd w:fill="D9EAF7"/>
          </w:tcPr>
          <w:p>
            <w:pPr>
              <w:spacing w:after="0" w:before="0"/>
            </w:pPr>
            <w:r/>
            <w:r>
              <w:rPr>
                <w:b/>
                <w:sz w:val="14"/>
              </w:rPr>
              <w:t>Zoran-side output</w:t>
            </w:r>
          </w:p>
        </w:tc>
        <w:tc>
          <w:tcPr>
            <w:tcW w:type="dxa" w:w="2590"/>
            <w:vAlign w:val="center"/>
            <w:shd w:fill="D9EAF7"/>
          </w:tcPr>
          <w:p>
            <w:pPr>
              <w:spacing w:after="0" w:before="0"/>
            </w:pPr>
            <w:r/>
            <w:r>
              <w:rPr>
                <w:b/>
                <w:sz w:val="14"/>
              </w:rPr>
              <w:t>Comparator output</w:t>
            </w:r>
          </w:p>
        </w:tc>
        <w:tc>
          <w:tcPr>
            <w:tcW w:type="dxa" w:w="2590"/>
            <w:vAlign w:val="center"/>
            <w:shd w:fill="D9EAF7"/>
          </w:tcPr>
          <w:p>
            <w:pPr>
              <w:spacing w:after="0" w:before="0"/>
            </w:pPr>
            <w:r/>
            <w:r>
              <w:rPr>
                <w:b/>
                <w:sz w:val="14"/>
              </w:rPr>
              <w:t>Certificate</w:t>
            </w:r>
          </w:p>
        </w:tc>
      </w:tr>
      <w:tr>
        <w:tc>
          <w:tcPr>
            <w:tcW w:type="dxa" w:w="2590"/>
            <w:vAlign w:val="center"/>
          </w:tcPr>
          <w:p>
            <w:pPr>
              <w:spacing w:after="0" w:before="0"/>
            </w:pPr>
            <w:r/>
            <w:r>
              <w:rPr>
                <w:b w:val="0"/>
                <w:sz w:val="14"/>
              </w:rPr>
              <w:t>D1</w:t>
            </w:r>
          </w:p>
        </w:tc>
        <w:tc>
          <w:tcPr>
            <w:tcW w:type="dxa" w:w="2590"/>
            <w:vAlign w:val="center"/>
          </w:tcPr>
          <w:p>
            <w:pPr>
              <w:spacing w:after="0" w:before="0"/>
            </w:pPr>
            <w:r/>
            <w:r>
              <w:rPr>
                <w:b w:val="0"/>
                <w:sz w:val="14"/>
              </w:rPr>
              <w:t>Compensation trap</w:t>
            </w:r>
          </w:p>
        </w:tc>
        <w:tc>
          <w:tcPr>
            <w:tcW w:type="dxa" w:w="2590"/>
            <w:vAlign w:val="center"/>
          </w:tcPr>
          <w:p>
            <w:pPr>
              <w:spacing w:after="0" w:before="0"/>
            </w:pPr>
            <w:r/>
            <w:r>
              <w:rPr>
                <w:b w:val="0"/>
                <w:sz w:val="14"/>
              </w:rPr>
              <w:t>Frame scores 1.4 and 0.6</w:t>
            </w:r>
          </w:p>
        </w:tc>
        <w:tc>
          <w:tcPr>
            <w:tcW w:type="dxa" w:w="2590"/>
            <w:vAlign w:val="center"/>
          </w:tcPr>
          <w:p>
            <w:pPr>
              <w:spacing w:after="0" w:before="0"/>
            </w:pPr>
            <w:r/>
            <w:r>
              <w:rPr>
                <w:b w:val="0"/>
                <w:sz w:val="14"/>
              </w:rPr>
              <w:t>Z-MF REFUSE</w:t>
            </w:r>
          </w:p>
        </w:tc>
        <w:tc>
          <w:tcPr>
            <w:tcW w:type="dxa" w:w="2590"/>
            <w:vAlign w:val="center"/>
          </w:tcPr>
          <w:p>
            <w:pPr>
              <w:spacing w:after="0" w:before="0"/>
            </w:pPr>
            <w:r/>
            <w:r>
              <w:rPr>
                <w:b w:val="0"/>
                <w:sz w:val="14"/>
              </w:rPr>
              <w:t>Mean baseline ACCEPT</w:t>
            </w:r>
          </w:p>
        </w:tc>
        <w:tc>
          <w:tcPr>
            <w:tcW w:type="dxa" w:w="2590"/>
            <w:vAlign w:val="center"/>
          </w:tcPr>
          <w:p>
            <w:pPr>
              <w:spacing w:after="0" w:before="0"/>
            </w:pPr>
            <w:r/>
            <w:r>
              <w:rPr>
                <w:b w:val="0"/>
                <w:sz w:val="14"/>
              </w:rPr>
              <w:t>Non-compensation is not equivalent to compensatory averaging.</w:t>
            </w:r>
          </w:p>
        </w:tc>
      </w:tr>
      <w:tr>
        <w:tc>
          <w:tcPr>
            <w:tcW w:type="dxa" w:w="2590"/>
            <w:vAlign w:val="center"/>
          </w:tcPr>
          <w:p>
            <w:pPr>
              <w:spacing w:after="0" w:before="0"/>
            </w:pPr>
            <w:r/>
            <w:r>
              <w:rPr>
                <w:b w:val="0"/>
                <w:sz w:val="14"/>
              </w:rPr>
              <w:t>D2</w:t>
            </w:r>
          </w:p>
        </w:tc>
        <w:tc>
          <w:tcPr>
            <w:tcW w:type="dxa" w:w="2590"/>
            <w:vAlign w:val="center"/>
          </w:tcPr>
          <w:p>
            <w:pPr>
              <w:spacing w:after="0" w:before="0"/>
            </w:pPr>
            <w:r/>
            <w:r>
              <w:rPr>
                <w:b w:val="0"/>
                <w:sz w:val="14"/>
              </w:rPr>
              <w:t>Missing-frame trap</w:t>
            </w:r>
          </w:p>
        </w:tc>
        <w:tc>
          <w:tcPr>
            <w:tcW w:type="dxa" w:w="2590"/>
            <w:vAlign w:val="center"/>
          </w:tcPr>
          <w:p>
            <w:pPr>
              <w:spacing w:after="0" w:before="0"/>
            </w:pPr>
            <w:r/>
            <w:r>
              <w:rPr>
                <w:b w:val="0"/>
                <w:sz w:val="14"/>
              </w:rPr>
              <w:t>One required frame=1.4; second required frame missing</w:t>
            </w:r>
          </w:p>
        </w:tc>
        <w:tc>
          <w:tcPr>
            <w:tcW w:type="dxa" w:w="2590"/>
            <w:vAlign w:val="center"/>
          </w:tcPr>
          <w:p>
            <w:pPr>
              <w:spacing w:after="0" w:before="0"/>
            </w:pPr>
            <w:r/>
            <w:r>
              <w:rPr>
                <w:b w:val="0"/>
                <w:sz w:val="14"/>
              </w:rPr>
              <w:t>Z-MF NON_MESURÉ</w:t>
            </w:r>
          </w:p>
        </w:tc>
        <w:tc>
          <w:tcPr>
            <w:tcW w:type="dxa" w:w="2590"/>
            <w:vAlign w:val="center"/>
          </w:tcPr>
          <w:p>
            <w:pPr>
              <w:spacing w:after="0" w:before="0"/>
            </w:pPr>
            <w:r/>
            <w:r>
              <w:rPr>
                <w:b w:val="0"/>
                <w:sz w:val="14"/>
              </w:rPr>
              <w:t>Available-only mean ACCEPT</w:t>
            </w:r>
          </w:p>
        </w:tc>
        <w:tc>
          <w:tcPr>
            <w:tcW w:type="dxa" w:w="2590"/>
            <w:vAlign w:val="center"/>
          </w:tcPr>
          <w:p>
            <w:pPr>
              <w:spacing w:after="0" w:before="0"/>
            </w:pPr>
            <w:r/>
            <w:r>
              <w:rPr>
                <w:b w:val="0"/>
                <w:sz w:val="14"/>
              </w:rPr>
              <w:t>Fail-closed missingness carries information absent from permissive averaging.</w:t>
            </w:r>
          </w:p>
        </w:tc>
      </w:tr>
      <w:tr>
        <w:tc>
          <w:tcPr>
            <w:tcW w:type="dxa" w:w="2590"/>
            <w:vAlign w:val="center"/>
          </w:tcPr>
          <w:p>
            <w:pPr>
              <w:spacing w:after="0" w:before="0"/>
            </w:pPr>
            <w:r/>
            <w:r>
              <w:rPr>
                <w:b w:val="0"/>
                <w:sz w:val="14"/>
              </w:rPr>
              <w:t>D3</w:t>
            </w:r>
          </w:p>
        </w:tc>
        <w:tc>
          <w:tcPr>
            <w:tcW w:type="dxa" w:w="2590"/>
            <w:vAlign w:val="center"/>
          </w:tcPr>
          <w:p>
            <w:pPr>
              <w:spacing w:after="0" w:before="0"/>
            </w:pPr>
            <w:r/>
            <w:r>
              <w:rPr>
                <w:b w:val="0"/>
                <w:sz w:val="14"/>
              </w:rPr>
              <w:t>Reachability split</w:t>
            </w:r>
          </w:p>
        </w:tc>
        <w:tc>
          <w:tcPr>
            <w:tcW w:type="dxa" w:w="2590"/>
            <w:vAlign w:val="center"/>
          </w:tcPr>
          <w:p>
            <w:pPr>
              <w:spacing w:after="0" w:before="0"/>
            </w:pPr>
            <w:r/>
            <w:r>
              <w:rPr>
                <w:b w:val="0"/>
                <w:sz w:val="14"/>
              </w:rPr>
              <w:t>Same Z frame scores [1.2,1.1]; endpoint admissible; path reachable vs unreachable</w:t>
            </w:r>
          </w:p>
        </w:tc>
        <w:tc>
          <w:tcPr>
            <w:tcW w:type="dxa" w:w="2590"/>
            <w:vAlign w:val="center"/>
          </w:tcPr>
          <w:p>
            <w:pPr>
              <w:spacing w:after="0" w:before="0"/>
            </w:pPr>
            <w:r/>
            <w:r>
              <w:rPr>
                <w:b w:val="0"/>
                <w:sz w:val="14"/>
              </w:rPr>
              <w:t>Z endpoint same</w:t>
            </w:r>
          </w:p>
        </w:tc>
        <w:tc>
          <w:tcPr>
            <w:tcW w:type="dxa" w:w="2590"/>
            <w:vAlign w:val="center"/>
          </w:tcPr>
          <w:p>
            <w:pPr>
              <w:spacing w:after="0" w:before="0"/>
            </w:pPr>
            <w:r/>
            <w:r>
              <w:rPr>
                <w:b w:val="0"/>
                <w:sz w:val="14"/>
              </w:rPr>
              <w:t>Paton ACCEPT vs REFUSE</w:t>
            </w:r>
          </w:p>
        </w:tc>
        <w:tc>
          <w:tcPr>
            <w:tcW w:type="dxa" w:w="2590"/>
            <w:vAlign w:val="center"/>
          </w:tcPr>
          <w:p>
            <w:pPr>
              <w:spacing w:after="0" w:before="0"/>
            </w:pPr>
            <w:r/>
            <w:r>
              <w:rPr>
                <w:b w:val="0"/>
                <w:sz w:val="14"/>
              </w:rPr>
              <w:t>Path existence is independent information; reproduces the Pass-3/4 non-equivalence in benchmark form.</w:t>
            </w:r>
          </w:p>
        </w:tc>
      </w:tr>
      <w:tr>
        <w:tc>
          <w:tcPr>
            <w:tcW w:type="dxa" w:w="2590"/>
            <w:vAlign w:val="center"/>
          </w:tcPr>
          <w:p>
            <w:pPr>
              <w:spacing w:after="0" w:before="0"/>
            </w:pPr>
            <w:r/>
            <w:r>
              <w:rPr>
                <w:b w:val="0"/>
                <w:sz w:val="14"/>
              </w:rPr>
              <w:t>D4</w:t>
            </w:r>
          </w:p>
        </w:tc>
        <w:tc>
          <w:tcPr>
            <w:tcW w:type="dxa" w:w="2590"/>
            <w:vAlign w:val="center"/>
          </w:tcPr>
          <w:p>
            <w:pPr>
              <w:spacing w:after="0" w:before="0"/>
            </w:pPr>
            <w:r/>
            <w:r>
              <w:rPr>
                <w:b w:val="0"/>
                <w:sz w:val="14"/>
              </w:rPr>
              <w:t>Dynamic-sign split</w:t>
            </w:r>
          </w:p>
        </w:tc>
        <w:tc>
          <w:tcPr>
            <w:tcW w:type="dxa" w:w="2590"/>
            <w:vAlign w:val="center"/>
          </w:tcPr>
          <w:p>
            <w:pPr>
              <w:spacing w:after="0" w:before="0"/>
            </w:pPr>
            <w:r/>
            <w:r>
              <w:rPr>
                <w:b w:val="0"/>
                <w:sz w:val="14"/>
              </w:rPr>
              <w:t>Same Z frame scores [1.2,1.2], C=1; UCP productive term 2.0 vs 0.5, β=1</w:t>
            </w:r>
          </w:p>
        </w:tc>
        <w:tc>
          <w:tcPr>
            <w:tcW w:type="dxa" w:w="2590"/>
            <w:vAlign w:val="center"/>
          </w:tcPr>
          <w:p>
            <w:pPr>
              <w:spacing w:after="0" w:before="0"/>
            </w:pPr>
            <w:r/>
            <w:r>
              <w:rPr>
                <w:b w:val="0"/>
                <w:sz w:val="14"/>
              </w:rPr>
              <w:t>Z endpoint same</w:t>
            </w:r>
          </w:p>
        </w:tc>
        <w:tc>
          <w:tcPr>
            <w:tcW w:type="dxa" w:w="2590"/>
            <w:vAlign w:val="center"/>
          </w:tcPr>
          <w:p>
            <w:pPr>
              <w:spacing w:after="0" w:before="0"/>
            </w:pPr>
            <w:r/>
            <w:r>
              <w:rPr>
                <w:b w:val="0"/>
                <w:sz w:val="14"/>
              </w:rPr>
              <w:t>UCP dC/dt = +1.0 vs −0.5</w:t>
            </w:r>
          </w:p>
        </w:tc>
        <w:tc>
          <w:tcPr>
            <w:tcW w:type="dxa" w:w="2590"/>
            <w:vAlign w:val="center"/>
          </w:tcPr>
          <w:p>
            <w:pPr>
              <w:spacing w:after="0" w:before="0"/>
            </w:pPr>
            <w:r/>
            <w:r>
              <w:rPr>
                <w:b w:val="0"/>
                <w:sz w:val="14"/>
              </w:rPr>
              <w:t>Static endpoint score does not determine UCP dynamics.</w:t>
            </w:r>
          </w:p>
        </w:tc>
      </w:tr>
      <w:tr>
        <w:tc>
          <w:tcPr>
            <w:tcW w:type="dxa" w:w="2590"/>
            <w:vAlign w:val="center"/>
          </w:tcPr>
          <w:p>
            <w:pPr>
              <w:spacing w:after="0" w:before="0"/>
            </w:pPr>
            <w:r/>
            <w:r>
              <w:rPr>
                <w:b w:val="0"/>
                <w:sz w:val="14"/>
              </w:rPr>
              <w:t>D5</w:t>
            </w:r>
          </w:p>
        </w:tc>
        <w:tc>
          <w:tcPr>
            <w:tcW w:type="dxa" w:w="2590"/>
            <w:vAlign w:val="center"/>
          </w:tcPr>
          <w:p>
            <w:pPr>
              <w:spacing w:after="0" w:before="0"/>
            </w:pPr>
            <w:r/>
            <w:r>
              <w:rPr>
                <w:b w:val="0"/>
                <w:sz w:val="14"/>
              </w:rPr>
              <w:t>Persistence-amplitude split</w:t>
            </w:r>
          </w:p>
        </w:tc>
        <w:tc>
          <w:tcPr>
            <w:tcW w:type="dxa" w:w="2590"/>
            <w:vAlign w:val="center"/>
          </w:tcPr>
          <w:p>
            <w:pPr>
              <w:spacing w:after="0" w:before="0"/>
            </w:pPr>
            <w:r/>
            <w:r>
              <w:rPr>
                <w:b w:val="0"/>
                <w:sz w:val="14"/>
              </w:rPr>
              <w:t>Same Z frame scores, C=0.7, Ccrit=0.5, γ=1; W=1 vs W=10</w:t>
            </w:r>
          </w:p>
        </w:tc>
        <w:tc>
          <w:tcPr>
            <w:tcW w:type="dxa" w:w="2590"/>
            <w:vAlign w:val="center"/>
          </w:tcPr>
          <w:p>
            <w:pPr>
              <w:spacing w:after="0" w:before="0"/>
            </w:pPr>
            <w:r/>
            <w:r>
              <w:rPr>
                <w:b w:val="0"/>
                <w:sz w:val="14"/>
              </w:rPr>
              <w:t>Z endpoint same</w:t>
            </w:r>
          </w:p>
        </w:tc>
        <w:tc>
          <w:tcPr>
            <w:tcW w:type="dxa" w:w="2590"/>
            <w:vAlign w:val="center"/>
          </w:tcPr>
          <w:p>
            <w:pPr>
              <w:spacing w:after="0" w:before="0"/>
            </w:pPr>
            <w:r/>
            <w:r>
              <w:rPr>
                <w:b w:val="0"/>
                <w:sz w:val="14"/>
              </w:rPr>
              <w:t>ULSP dW/dt = 0.2 vs 2.0</w:t>
            </w:r>
          </w:p>
        </w:tc>
        <w:tc>
          <w:tcPr>
            <w:tcW w:type="dxa" w:w="2590"/>
            <w:vAlign w:val="center"/>
          </w:tcPr>
          <w:p>
            <w:pPr>
              <w:spacing w:after="0" w:before="0"/>
            </w:pPr>
            <w:r/>
            <w:r>
              <w:rPr>
                <w:b w:val="0"/>
                <w:sz w:val="14"/>
              </w:rPr>
              <w:t>Coherence scalar alone does not determine persistence derivative magnitude.</w:t>
            </w:r>
          </w:p>
        </w:tc>
      </w:tr>
      <w:tr>
        <w:tc>
          <w:tcPr>
            <w:tcW w:type="dxa" w:w="2590"/>
            <w:vAlign w:val="center"/>
          </w:tcPr>
          <w:p>
            <w:pPr>
              <w:spacing w:after="0" w:before="0"/>
            </w:pPr>
            <w:r/>
            <w:r>
              <w:rPr>
                <w:b w:val="0"/>
                <w:sz w:val="14"/>
              </w:rPr>
              <w:t>D6</w:t>
            </w:r>
          </w:p>
        </w:tc>
        <w:tc>
          <w:tcPr>
            <w:tcW w:type="dxa" w:w="2590"/>
            <w:vAlign w:val="center"/>
          </w:tcPr>
          <w:p>
            <w:pPr>
              <w:spacing w:after="0" w:before="0"/>
            </w:pPr>
            <w:r/>
            <w:r>
              <w:rPr>
                <w:b w:val="0"/>
                <w:sz w:val="14"/>
              </w:rPr>
              <w:t>Phase-geometry split</w:t>
            </w:r>
          </w:p>
        </w:tc>
        <w:tc>
          <w:tcPr>
            <w:tcW w:type="dxa" w:w="2590"/>
            <w:vAlign w:val="center"/>
          </w:tcPr>
          <w:p>
            <w:pPr>
              <w:spacing w:after="0" w:before="0"/>
            </w:pPr>
            <w:r/>
            <w:r>
              <w:rPr>
                <w:b w:val="0"/>
                <w:sz w:val="14"/>
              </w:rPr>
              <w:t>Same Z frame scores; phases [0,0,0,0] vs [0,π,0,π]</w:t>
            </w:r>
          </w:p>
        </w:tc>
        <w:tc>
          <w:tcPr>
            <w:tcW w:type="dxa" w:w="2590"/>
            <w:vAlign w:val="center"/>
          </w:tcPr>
          <w:p>
            <w:pPr>
              <w:spacing w:after="0" w:before="0"/>
            </w:pPr>
            <w:r/>
            <w:r>
              <w:rPr>
                <w:b w:val="0"/>
                <w:sz w:val="14"/>
              </w:rPr>
              <w:t>Z endpoint same</w:t>
            </w:r>
          </w:p>
        </w:tc>
        <w:tc>
          <w:tcPr>
            <w:tcW w:type="dxa" w:w="2590"/>
            <w:vAlign w:val="center"/>
          </w:tcPr>
          <w:p>
            <w:pPr>
              <w:spacing w:after="0" w:before="0"/>
            </w:pPr>
            <w:r/>
            <w:r>
              <w:rPr>
                <w:b w:val="0"/>
                <w:sz w:val="14"/>
              </w:rPr>
              <w:t>PAS_h = 1 vs ≈0</w:t>
            </w:r>
          </w:p>
        </w:tc>
        <w:tc>
          <w:tcPr>
            <w:tcW w:type="dxa" w:w="2590"/>
            <w:vAlign w:val="center"/>
          </w:tcPr>
          <w:p>
            <w:pPr>
              <w:spacing w:after="0" w:before="0"/>
            </w:pPr>
            <w:r/>
            <w:r>
              <w:rPr>
                <w:b w:val="0"/>
                <w:sz w:val="14"/>
              </w:rPr>
              <w:t>Phase geometry carries information absent from the coarse endpoint score.</w:t>
            </w:r>
          </w:p>
        </w:tc>
      </w:tr>
    </w:tbl>
    <w:p/>
    <w:p>
      <w:pPr/>
      <w:r>
        <w:t>Result — The five null-equivalence hypotheses H0-Z-MEAN, H0-Z-PATON, H0-Z-UCP, H0-Z-ULSP and H0-Z-BOSTICK are rejected at the level of mathematical function equivalence by explicit counterexample. No statistical p-value is required for that claim: one valid input pair with identical inputs to one formalism and different outputs in the other is sufficient. This is not evidence that Zoran or any comparator is empirically superior.</w:t>
      </w:r>
    </w:p>
    <w:p>
      <w:pPr/>
      <w:r>
        <w:t>Audit artefact — pass7_discriminant_countermodels.json; SHA-512: 0c6cc93d67d5b1ce12124818f47066b861a4f8ef9daffdc432cc6314e7bbe349e9f16daf2d4e80f895e3131c7d0d0afd3b38ca62ed6e96dafd5817b42a4c23ba</w:t>
      </w:r>
    </w:p>
    <w:p>
      <w:pPr>
        <w:pStyle w:val="Heading1"/>
      </w:pPr>
      <w:r>
        <w:t>45. Dimensional / unit audit of the transformation matrix</w:t>
      </w:r>
    </w:p>
    <w:tbl>
      <w:tblPr>
        <w:tblStyle w:val="TableGrid"/>
        <w:tblW w:type="auto" w:w="0"/>
        <w:tblLook w:firstColumn="1" w:firstRow="1" w:lastColumn="0" w:lastRow="0" w:noHBand="0" w:noVBand="1" w:val="04A0"/>
      </w:tblPr>
      <w:tblGrid>
        <w:gridCol w:w="3884"/>
        <w:gridCol w:w="3884"/>
        <w:gridCol w:w="3884"/>
        <w:gridCol w:w="3884"/>
      </w:tblGrid>
      <w:tr>
        <w:trPr>
          <w:tblHeader w:val="true"/>
        </w:trPr>
        <w:tc>
          <w:tcPr>
            <w:tcW w:type="dxa" w:w="3884"/>
            <w:vAlign w:val="center"/>
            <w:shd w:fill="D9EAF7"/>
          </w:tcPr>
          <w:p>
            <w:pPr>
              <w:spacing w:after="0" w:before="0"/>
            </w:pPr>
            <w:r/>
            <w:r>
              <w:rPr>
                <w:b/>
                <w:sz w:val="14"/>
              </w:rPr>
              <w:t>Programme</w:t>
            </w:r>
          </w:p>
        </w:tc>
        <w:tc>
          <w:tcPr>
            <w:tcW w:type="dxa" w:w="3884"/>
            <w:vAlign w:val="center"/>
            <w:shd w:fill="D9EAF7"/>
          </w:tcPr>
          <w:p>
            <w:pPr>
              <w:spacing w:after="0" w:before="0"/>
            </w:pPr>
            <w:r/>
            <w:r>
              <w:rPr>
                <w:b/>
                <w:sz w:val="14"/>
              </w:rPr>
              <w:t>Equation/object</w:t>
            </w:r>
          </w:p>
        </w:tc>
        <w:tc>
          <w:tcPr>
            <w:tcW w:type="dxa" w:w="3884"/>
            <w:vAlign w:val="center"/>
            <w:shd w:fill="D9EAF7"/>
          </w:tcPr>
          <w:p>
            <w:pPr>
              <w:spacing w:after="0" w:before="0"/>
            </w:pPr>
            <w:r/>
            <w:r>
              <w:rPr>
                <w:b/>
                <w:sz w:val="14"/>
              </w:rPr>
              <w:t>Audit status</w:t>
            </w:r>
          </w:p>
        </w:tc>
        <w:tc>
          <w:tcPr>
            <w:tcW w:type="dxa" w:w="3884"/>
            <w:vAlign w:val="center"/>
            <w:shd w:fill="D9EAF7"/>
          </w:tcPr>
          <w:p>
            <w:pPr>
              <w:spacing w:after="0" w:before="0"/>
            </w:pPr>
            <w:r/>
            <w:r>
              <w:rPr>
                <w:b/>
                <w:sz w:val="14"/>
              </w:rPr>
              <w:t>Unit certificate / limitation</w:t>
            </w:r>
          </w:p>
        </w:tc>
      </w:tr>
      <w:tr>
        <w:tc>
          <w:tcPr>
            <w:tcW w:type="dxa" w:w="3884"/>
            <w:vAlign w:val="center"/>
          </w:tcPr>
          <w:p>
            <w:pPr>
              <w:spacing w:after="0" w:before="0"/>
            </w:pPr>
            <w:r/>
            <w:r>
              <w:rPr>
                <w:b w:val="0"/>
                <w:sz w:val="14"/>
              </w:rPr>
              <w:t>Zoran current</w:t>
            </w:r>
          </w:p>
        </w:tc>
        <w:tc>
          <w:tcPr>
            <w:tcW w:type="dxa" w:w="3884"/>
            <w:vAlign w:val="center"/>
          </w:tcPr>
          <w:p>
            <w:pPr>
              <w:spacing w:after="0" w:before="0"/>
            </w:pPr>
            <w:r/>
            <w:r>
              <w:rPr>
                <w:b w:val="0"/>
                <w:sz w:val="14"/>
              </w:rPr>
              <w:t>S=β·ΔΦ/(T·σ)</w:t>
            </w:r>
          </w:p>
        </w:tc>
        <w:tc>
          <w:tcPr>
            <w:tcW w:type="dxa" w:w="3884"/>
            <w:vAlign w:val="center"/>
          </w:tcPr>
          <w:p>
            <w:pPr>
              <w:spacing w:after="0" w:before="0"/>
            </w:pPr>
            <w:r/>
            <w:r>
              <w:rPr>
                <w:b w:val="0"/>
                <w:sz w:val="14"/>
              </w:rPr>
              <w:t>Conditional dimensionless</w:t>
            </w:r>
          </w:p>
        </w:tc>
        <w:tc>
          <w:tcPr>
            <w:tcW w:type="dxa" w:w="3884"/>
            <w:vAlign w:val="center"/>
          </w:tcPr>
          <w:p>
            <w:pPr>
              <w:spacing w:after="0" w:before="0"/>
            </w:pPr>
            <w:r/>
            <w:r>
              <w:rPr>
                <w:b w:val="0"/>
                <w:sz w:val="14"/>
              </w:rPr>
              <w:t>Unit-clean only if β, ΔΦ, T and σ are normalized dimensionless proxies (or units cancel by declared calibration). If T is physical time while others are dimensionless, S has units 1/time.</w:t>
            </w:r>
          </w:p>
        </w:tc>
      </w:tr>
      <w:tr>
        <w:tc>
          <w:tcPr>
            <w:tcW w:type="dxa" w:w="3884"/>
            <w:vAlign w:val="center"/>
          </w:tcPr>
          <w:p>
            <w:pPr>
              <w:spacing w:after="0" w:before="0"/>
            </w:pPr>
            <w:r/>
            <w:r>
              <w:rPr>
                <w:b w:val="0"/>
                <w:sz w:val="14"/>
              </w:rPr>
              <w:t>Zoran early</w:t>
            </w:r>
          </w:p>
        </w:tc>
        <w:tc>
          <w:tcPr>
            <w:tcW w:type="dxa" w:w="3884"/>
            <w:vAlign w:val="center"/>
          </w:tcPr>
          <w:p>
            <w:pPr>
              <w:spacing w:after="0" w:before="0"/>
            </w:pPr>
            <w:r/>
            <w:r>
              <w:rPr>
                <w:b w:val="0"/>
                <w:sz w:val="14"/>
              </w:rPr>
              <w:t>S=β·ΔC_e/λ</w:t>
            </w:r>
          </w:p>
        </w:tc>
        <w:tc>
          <w:tcPr>
            <w:tcW w:type="dxa" w:w="3884"/>
            <w:vAlign w:val="center"/>
          </w:tcPr>
          <w:p>
            <w:pPr>
              <w:spacing w:after="0" w:before="0"/>
            </w:pPr>
            <w:r/>
            <w:r>
              <w:rPr>
                <w:b w:val="0"/>
                <w:sz w:val="14"/>
              </w:rPr>
              <w:t>Conditional</w:t>
            </w:r>
          </w:p>
        </w:tc>
        <w:tc>
          <w:tcPr>
            <w:tcW w:type="dxa" w:w="3884"/>
            <w:vAlign w:val="center"/>
          </w:tcPr>
          <w:p>
            <w:pPr>
              <w:spacing w:after="0" w:before="0"/>
            </w:pPr>
            <w:r/>
            <w:r>
              <w:rPr>
                <w:b w:val="0"/>
                <w:sz w:val="14"/>
              </w:rPr>
              <w:t>Dimensionless only under a dimensionless/noise-scale interpretation or an explicit unit-carrying coefficient. A rate-valued λ would otherwise leave time dimensions.</w:t>
            </w:r>
          </w:p>
        </w:tc>
      </w:tr>
      <w:tr>
        <w:tc>
          <w:tcPr>
            <w:tcW w:type="dxa" w:w="3884"/>
            <w:vAlign w:val="center"/>
          </w:tcPr>
          <w:p>
            <w:pPr>
              <w:spacing w:after="0" w:before="0"/>
            </w:pPr>
            <w:r/>
            <w:r>
              <w:rPr>
                <w:b w:val="0"/>
                <w:sz w:val="14"/>
              </w:rPr>
              <w:t>Zoran thermodynamic</w:t>
            </w:r>
          </w:p>
        </w:tc>
        <w:tc>
          <w:tcPr>
            <w:tcW w:type="dxa" w:w="3884"/>
            <w:vAlign w:val="center"/>
          </w:tcPr>
          <w:p>
            <w:pPr>
              <w:spacing w:after="0" w:before="0"/>
            </w:pPr>
            <w:r/>
            <w:r>
              <w:rPr>
                <w:b w:val="0"/>
                <w:sz w:val="14"/>
              </w:rPr>
              <w:t>S=(η·Ḟ·ΔΦ)/(T·σ̇_irr)</w:t>
            </w:r>
          </w:p>
        </w:tc>
        <w:tc>
          <w:tcPr>
            <w:tcW w:type="dxa" w:w="3884"/>
            <w:vAlign w:val="center"/>
          </w:tcPr>
          <w:p>
            <w:pPr>
              <w:spacing w:after="0" w:before="0"/>
            </w:pPr>
            <w:r/>
            <w:r>
              <w:rPr>
                <w:b w:val="0"/>
                <w:sz w:val="14"/>
              </w:rPr>
              <w:t>UNRESOLVED</w:t>
            </w:r>
          </w:p>
        </w:tc>
        <w:tc>
          <w:tcPr>
            <w:tcW w:type="dxa" w:w="3884"/>
            <w:vAlign w:val="center"/>
          </w:tcPr>
          <w:p>
            <w:pPr>
              <w:spacing w:after="0" w:before="0"/>
            </w:pPr>
            <w:r/>
            <w:r>
              <w:rPr>
                <w:b w:val="0"/>
                <w:sz w:val="14"/>
              </w:rPr>
              <w:t>The consulted atlas sources do not fix units of every symbol sufficiently to certify dimensional closure. No unit claim promoted.</w:t>
            </w:r>
          </w:p>
        </w:tc>
      </w:tr>
      <w:tr>
        <w:tc>
          <w:tcPr>
            <w:tcW w:type="dxa" w:w="3884"/>
            <w:vAlign w:val="center"/>
          </w:tcPr>
          <w:p>
            <w:pPr>
              <w:spacing w:after="0" w:before="0"/>
            </w:pPr>
            <w:r/>
            <w:r>
              <w:rPr>
                <w:b w:val="0"/>
                <w:sz w:val="14"/>
              </w:rPr>
              <w:t>UCP dynamics</w:t>
            </w:r>
          </w:p>
        </w:tc>
        <w:tc>
          <w:tcPr>
            <w:tcW w:type="dxa" w:w="3884"/>
            <w:vAlign w:val="center"/>
          </w:tcPr>
          <w:p>
            <w:pPr>
              <w:spacing w:after="0" w:before="0"/>
            </w:pPr>
            <w:r/>
            <w:r>
              <w:rPr>
                <w:b w:val="0"/>
                <w:sz w:val="14"/>
              </w:rPr>
              <w:t>dC/dt=αRWA−βC+η</w:t>
            </w:r>
          </w:p>
        </w:tc>
        <w:tc>
          <w:tcPr>
            <w:tcW w:type="dxa" w:w="3884"/>
            <w:vAlign w:val="center"/>
          </w:tcPr>
          <w:p>
            <w:pPr>
              <w:spacing w:after="0" w:before="0"/>
            </w:pPr>
            <w:r/>
            <w:r>
              <w:rPr>
                <w:b w:val="0"/>
                <w:sz w:val="14"/>
              </w:rPr>
              <w:t>Conditionally consistent</w:t>
            </w:r>
          </w:p>
        </w:tc>
        <w:tc>
          <w:tcPr>
            <w:tcW w:type="dxa" w:w="3884"/>
            <w:vAlign w:val="center"/>
          </w:tcPr>
          <w:p>
            <w:pPr>
              <w:spacing w:after="0" w:before="0"/>
            </w:pPr>
            <w:r/>
            <w:r>
              <w:rPr>
                <w:b w:val="0"/>
                <w:sz w:val="14"/>
              </w:rPr>
              <w:t>Requires [α]=[C]/([R][W][A]·time), [β]=1/time, [η]=[C]/time. With dimensionless R,A and W in J/s, α carries [C]/J.</w:t>
            </w:r>
          </w:p>
        </w:tc>
      </w:tr>
      <w:tr>
        <w:tc>
          <w:tcPr>
            <w:tcW w:type="dxa" w:w="3884"/>
            <w:vAlign w:val="center"/>
          </w:tcPr>
          <w:p>
            <w:pPr>
              <w:spacing w:after="0" w:before="0"/>
            </w:pPr>
            <w:r/>
            <w:r>
              <w:rPr>
                <w:b w:val="0"/>
                <w:sz w:val="14"/>
              </w:rPr>
              <w:t>UCP equilibrium</w:t>
            </w:r>
          </w:p>
        </w:tc>
        <w:tc>
          <w:tcPr>
            <w:tcW w:type="dxa" w:w="3884"/>
            <w:vAlign w:val="center"/>
          </w:tcPr>
          <w:p>
            <w:pPr>
              <w:spacing w:after="0" w:before="0"/>
            </w:pPr>
            <w:r/>
            <w:r>
              <w:rPr>
                <w:b w:val="0"/>
                <w:sz w:val="14"/>
              </w:rPr>
              <w:t>C_eq=αRWA/β</w:t>
            </w:r>
          </w:p>
        </w:tc>
        <w:tc>
          <w:tcPr>
            <w:tcW w:type="dxa" w:w="3884"/>
            <w:vAlign w:val="center"/>
          </w:tcPr>
          <w:p>
            <w:pPr>
              <w:spacing w:after="0" w:before="0"/>
            </w:pPr>
            <w:r/>
            <w:r>
              <w:rPr>
                <w:b w:val="0"/>
                <w:sz w:val="14"/>
              </w:rPr>
              <w:t>Consistent if ODE units hold</w:t>
            </w:r>
          </w:p>
        </w:tc>
        <w:tc>
          <w:tcPr>
            <w:tcW w:type="dxa" w:w="3884"/>
            <w:vAlign w:val="center"/>
          </w:tcPr>
          <w:p>
            <w:pPr>
              <w:spacing w:after="0" w:before="0"/>
            </w:pPr>
            <w:r/>
            <w:r>
              <w:rPr>
                <w:b w:val="0"/>
                <w:sz w:val="14"/>
              </w:rPr>
              <w:t>Then RHS has units [C]. The ratio skeleton alone does not imply a dimensionless universal gauge.</w:t>
            </w:r>
          </w:p>
        </w:tc>
      </w:tr>
      <w:tr>
        <w:tc>
          <w:tcPr>
            <w:tcW w:type="dxa" w:w="3884"/>
            <w:vAlign w:val="center"/>
          </w:tcPr>
          <w:p>
            <w:pPr>
              <w:spacing w:after="0" w:before="0"/>
            </w:pPr>
            <w:r/>
            <w:r>
              <w:rPr>
                <w:b w:val="0"/>
                <w:sz w:val="14"/>
              </w:rPr>
              <w:t>Martirosyan</w:t>
            </w:r>
          </w:p>
        </w:tc>
        <w:tc>
          <w:tcPr>
            <w:tcW w:type="dxa" w:w="3884"/>
            <w:vAlign w:val="center"/>
          </w:tcPr>
          <w:p>
            <w:pPr>
              <w:spacing w:after="0" w:before="0"/>
            </w:pPr>
            <w:r/>
            <w:r>
              <w:rPr>
                <w:b w:val="0"/>
                <w:sz w:val="14"/>
              </w:rPr>
              <w:t>D=dℓ²/dt ≈3.4 ħ/m</w:t>
            </w:r>
          </w:p>
        </w:tc>
        <w:tc>
          <w:tcPr>
            <w:tcW w:type="dxa" w:w="3884"/>
            <w:vAlign w:val="center"/>
          </w:tcPr>
          <w:p>
            <w:pPr>
              <w:spacing w:after="0" w:before="0"/>
            </w:pPr>
            <w:r/>
            <w:r>
              <w:rPr>
                <w:b w:val="0"/>
                <w:sz w:val="14"/>
              </w:rPr>
              <w:t>DIM-OK</w:t>
            </w:r>
          </w:p>
        </w:tc>
        <w:tc>
          <w:tcPr>
            <w:tcW w:type="dxa" w:w="3884"/>
            <w:vAlign w:val="center"/>
          </w:tcPr>
          <w:p>
            <w:pPr>
              <w:spacing w:after="0" w:before="0"/>
            </w:pPr>
            <w:r/>
            <w:r>
              <w:rPr>
                <w:b w:val="0"/>
                <w:sz w:val="14"/>
              </w:rPr>
              <w:t>Both sides have L²/time because [ħ/m]=m²/s. This is the cleanest dimensional physical law in the current comparison set.</w:t>
            </w:r>
          </w:p>
        </w:tc>
      </w:tr>
      <w:tr>
        <w:tc>
          <w:tcPr>
            <w:tcW w:type="dxa" w:w="3884"/>
            <w:vAlign w:val="center"/>
          </w:tcPr>
          <w:p>
            <w:pPr>
              <w:spacing w:after="0" w:before="0"/>
            </w:pPr>
            <w:r/>
            <w:r>
              <w:rPr>
                <w:b w:val="0"/>
                <w:sz w:val="14"/>
              </w:rPr>
              <w:t>Hu–Fan</w:t>
            </w:r>
          </w:p>
        </w:tc>
        <w:tc>
          <w:tcPr>
            <w:tcW w:type="dxa" w:w="3884"/>
            <w:vAlign w:val="center"/>
          </w:tcPr>
          <w:p>
            <w:pPr>
              <w:spacing w:after="0" w:before="0"/>
            </w:pPr>
            <w:r/>
            <w:r>
              <w:rPr>
                <w:b w:val="0"/>
                <w:sz w:val="14"/>
              </w:rPr>
              <w:t>Q[E(ρ_n)]=Q(ρ_n)·Q[E(ρ_n^p)]</w:t>
            </w:r>
          </w:p>
        </w:tc>
        <w:tc>
          <w:tcPr>
            <w:tcW w:type="dxa" w:w="3884"/>
            <w:vAlign w:val="center"/>
          </w:tcPr>
          <w:p>
            <w:pPr>
              <w:spacing w:after="0" w:before="0"/>
            </w:pPr>
            <w:r/>
            <w:r>
              <w:rPr>
                <w:b w:val="0"/>
                <w:sz w:val="14"/>
              </w:rPr>
              <w:t>DIM-OK if Q normalized</w:t>
            </w:r>
          </w:p>
        </w:tc>
        <w:tc>
          <w:tcPr>
            <w:tcW w:type="dxa" w:w="3884"/>
            <w:vAlign w:val="center"/>
          </w:tcPr>
          <w:p>
            <w:pPr>
              <w:spacing w:after="0" w:before="0"/>
            </w:pPr>
            <w:r/>
            <w:r>
              <w:rPr>
                <w:b w:val="0"/>
                <w:sz w:val="14"/>
              </w:rPr>
              <w:t>Density matrices and standard normalized coherence measures are dimensionless; multiplicative factorization is unit-consistent.</w:t>
            </w:r>
          </w:p>
        </w:tc>
      </w:tr>
      <w:tr>
        <w:tc>
          <w:tcPr>
            <w:tcW w:type="dxa" w:w="3884"/>
            <w:vAlign w:val="center"/>
          </w:tcPr>
          <w:p>
            <w:pPr>
              <w:spacing w:after="0" w:before="0"/>
            </w:pPr>
            <w:r/>
            <w:r>
              <w:rPr>
                <w:b w:val="0"/>
                <w:sz w:val="14"/>
              </w:rPr>
              <w:t>Bostick harmonic</w:t>
            </w:r>
          </w:p>
        </w:tc>
        <w:tc>
          <w:tcPr>
            <w:tcW w:type="dxa" w:w="3884"/>
            <w:vAlign w:val="center"/>
          </w:tcPr>
          <w:p>
            <w:pPr>
              <w:spacing w:after="0" w:before="0"/>
            </w:pPr>
            <w:r/>
            <w:r>
              <w:rPr>
                <w:b w:val="0"/>
                <w:sz w:val="14"/>
              </w:rPr>
              <w:t>PAS_h=Σ w_k r_k; ΔPAS</w:t>
            </w:r>
          </w:p>
        </w:tc>
        <w:tc>
          <w:tcPr>
            <w:tcW w:type="dxa" w:w="3884"/>
            <w:vAlign w:val="center"/>
          </w:tcPr>
          <w:p>
            <w:pPr>
              <w:spacing w:after="0" w:before="0"/>
            </w:pPr>
            <w:r/>
            <w:r>
              <w:rPr>
                <w:b w:val="0"/>
                <w:sz w:val="14"/>
              </w:rPr>
              <w:t>Conditional dimensionless</w:t>
            </w:r>
          </w:p>
        </w:tc>
        <w:tc>
          <w:tcPr>
            <w:tcW w:type="dxa" w:w="3884"/>
            <w:vAlign w:val="center"/>
          </w:tcPr>
          <w:p>
            <w:pPr>
              <w:spacing w:after="0" w:before="0"/>
            </w:pPr>
            <w:r/>
            <w:r>
              <w:rPr>
                <w:b w:val="0"/>
                <w:sz w:val="14"/>
              </w:rPr>
              <w:t>Unit-clean when w_k and r_k are dimensionless. ΔPAS then has PAS units per sample/update; thresholds must share those units.</w:t>
            </w:r>
          </w:p>
        </w:tc>
      </w:tr>
      <w:tr>
        <w:tc>
          <w:tcPr>
            <w:tcW w:type="dxa" w:w="3884"/>
            <w:vAlign w:val="center"/>
          </w:tcPr>
          <w:p>
            <w:pPr>
              <w:spacing w:after="0" w:before="0"/>
            </w:pPr>
            <w:r/>
            <w:r>
              <w:rPr>
                <w:b w:val="0"/>
                <w:sz w:val="14"/>
              </w:rPr>
              <w:t>Bostick differential</w:t>
            </w:r>
          </w:p>
        </w:tc>
        <w:tc>
          <w:tcPr>
            <w:tcW w:type="dxa" w:w="3884"/>
            <w:vAlign w:val="center"/>
          </w:tcPr>
          <w:p>
            <w:pPr>
              <w:spacing w:after="0" w:before="0"/>
            </w:pPr>
            <w:r/>
            <w:r>
              <w:rPr>
                <w:b w:val="0"/>
                <w:sz w:val="14"/>
              </w:rPr>
              <w:t>dC/dt=ΓC^n−λC+η(∇S·∇Ω)</w:t>
            </w:r>
          </w:p>
        </w:tc>
        <w:tc>
          <w:tcPr>
            <w:tcW w:type="dxa" w:w="3884"/>
            <w:vAlign w:val="center"/>
          </w:tcPr>
          <w:p>
            <w:pPr>
              <w:spacing w:after="0" w:before="0"/>
            </w:pPr>
            <w:r/>
            <w:r>
              <w:rPr>
                <w:b w:val="0"/>
                <w:sz w:val="14"/>
              </w:rPr>
              <w:t>Conditional</w:t>
            </w:r>
          </w:p>
        </w:tc>
        <w:tc>
          <w:tcPr>
            <w:tcW w:type="dxa" w:w="3884"/>
            <w:vAlign w:val="center"/>
          </w:tcPr>
          <w:p>
            <w:pPr>
              <w:spacing w:after="0" w:before="0"/>
            </w:pPr>
            <w:r/>
            <w:r>
              <w:rPr>
                <w:b w:val="0"/>
                <w:sz w:val="14"/>
              </w:rPr>
              <w:t>Requires [Γ]=[C]^(1−n)/time, [λ]=1/time, and the coupling coefficient to convert the gradient product to [C]/time. Source-level units for all gradient fields are not fixed in the audited abstract.</w:t>
            </w:r>
          </w:p>
        </w:tc>
      </w:tr>
      <w:tr>
        <w:tc>
          <w:tcPr>
            <w:tcW w:type="dxa" w:w="3884"/>
            <w:vAlign w:val="center"/>
          </w:tcPr>
          <w:p>
            <w:pPr>
              <w:spacing w:after="0" w:before="0"/>
            </w:pPr>
            <w:r/>
            <w:r>
              <w:rPr>
                <w:b w:val="0"/>
                <w:sz w:val="14"/>
              </w:rPr>
              <w:t>Paton</w:t>
            </w:r>
          </w:p>
        </w:tc>
        <w:tc>
          <w:tcPr>
            <w:tcW w:type="dxa" w:w="3884"/>
            <w:vAlign w:val="center"/>
          </w:tcPr>
          <w:p>
            <w:pPr>
              <w:spacing w:after="0" w:before="0"/>
            </w:pPr>
            <w:r/>
            <w:r>
              <w:rPr>
                <w:b w:val="0"/>
                <w:sz w:val="14"/>
              </w:rPr>
              <w:t>Boolean gate + Reachable relation</w:t>
            </w:r>
          </w:p>
        </w:tc>
        <w:tc>
          <w:tcPr>
            <w:tcW w:type="dxa" w:w="3884"/>
            <w:vAlign w:val="center"/>
          </w:tcPr>
          <w:p>
            <w:pPr>
              <w:spacing w:after="0" w:before="0"/>
            </w:pPr>
            <w:r/>
            <w:r>
              <w:rPr>
                <w:b w:val="0"/>
                <w:sz w:val="14"/>
              </w:rPr>
              <w:t>Logical / N.A.</w:t>
            </w:r>
          </w:p>
        </w:tc>
        <w:tc>
          <w:tcPr>
            <w:tcW w:type="dxa" w:w="3884"/>
            <w:vAlign w:val="center"/>
          </w:tcPr>
          <w:p>
            <w:pPr>
              <w:spacing w:after="0" w:before="0"/>
            </w:pPr>
            <w:r/>
            <w:r>
              <w:rPr>
                <w:b w:val="0"/>
                <w:sz w:val="14"/>
              </w:rPr>
              <w:t>These are predicates/relations rather than physical quantities; dimensional analysis is not the relevant consistency test.</w:t>
            </w:r>
          </w:p>
        </w:tc>
      </w:tr>
      <w:tr>
        <w:tc>
          <w:tcPr>
            <w:tcW w:type="dxa" w:w="3884"/>
            <w:vAlign w:val="center"/>
          </w:tcPr>
          <w:p>
            <w:pPr>
              <w:spacing w:after="0" w:before="0"/>
            </w:pPr>
            <w:r/>
            <w:r>
              <w:rPr>
                <w:b w:val="0"/>
                <w:sz w:val="14"/>
              </w:rPr>
              <w:t>Bellori ratio</w:t>
            </w:r>
          </w:p>
        </w:tc>
        <w:tc>
          <w:tcPr>
            <w:tcW w:type="dxa" w:w="3884"/>
            <w:vAlign w:val="center"/>
          </w:tcPr>
          <w:p>
            <w:pPr>
              <w:spacing w:after="0" w:before="0"/>
            </w:pPr>
            <w:r/>
            <w:r>
              <w:rPr>
                <w:b w:val="0"/>
                <w:sz w:val="14"/>
              </w:rPr>
              <w:t>S_B ratio form</w:t>
            </w:r>
          </w:p>
        </w:tc>
        <w:tc>
          <w:tcPr>
            <w:tcW w:type="dxa" w:w="3884"/>
            <w:vAlign w:val="center"/>
          </w:tcPr>
          <w:p>
            <w:pPr>
              <w:spacing w:after="0" w:before="0"/>
            </w:pPr>
            <w:r/>
            <w:r>
              <w:rPr>
                <w:b w:val="0"/>
                <w:sz w:val="14"/>
              </w:rPr>
              <w:t>UNRESOLVED</w:t>
            </w:r>
          </w:p>
        </w:tc>
        <w:tc>
          <w:tcPr>
            <w:tcW w:type="dxa" w:w="3884"/>
            <w:vAlign w:val="center"/>
          </w:tcPr>
          <w:p>
            <w:pPr>
              <w:spacing w:after="0" w:before="0"/>
            </w:pPr>
            <w:r/>
            <w:r>
              <w:rPr>
                <w:b w:val="0"/>
                <w:sz w:val="14"/>
              </w:rPr>
              <w:t>Variable units were not sufficiently specified in the audited primary surface to certify dimensional closure.</w:t>
            </w:r>
          </w:p>
        </w:tc>
      </w:tr>
      <w:tr>
        <w:tc>
          <w:tcPr>
            <w:tcW w:type="dxa" w:w="3884"/>
            <w:vAlign w:val="center"/>
          </w:tcPr>
          <w:p>
            <w:pPr>
              <w:spacing w:after="0" w:before="0"/>
            </w:pPr>
            <w:r/>
            <w:r>
              <w:rPr>
                <w:b w:val="0"/>
                <w:sz w:val="14"/>
              </w:rPr>
              <w:t>Al-Mayahi</w:t>
            </w:r>
          </w:p>
        </w:tc>
        <w:tc>
          <w:tcPr>
            <w:tcW w:type="dxa" w:w="3884"/>
            <w:vAlign w:val="center"/>
          </w:tcPr>
          <w:p>
            <w:pPr>
              <w:spacing w:after="0" w:before="0"/>
            </w:pPr>
            <w:r/>
            <w:r>
              <w:rPr>
                <w:b w:val="0"/>
                <w:sz w:val="14"/>
              </w:rPr>
              <w:t>C=I(S;E)/H(S)</w:t>
            </w:r>
          </w:p>
        </w:tc>
        <w:tc>
          <w:tcPr>
            <w:tcW w:type="dxa" w:w="3884"/>
            <w:vAlign w:val="center"/>
          </w:tcPr>
          <w:p>
            <w:pPr>
              <w:spacing w:after="0" w:before="0"/>
            </w:pPr>
            <w:r/>
            <w:r>
              <w:rPr>
                <w:b w:val="0"/>
                <w:sz w:val="14"/>
              </w:rPr>
              <w:t>DIM-OK normalized</w:t>
            </w:r>
          </w:p>
        </w:tc>
        <w:tc>
          <w:tcPr>
            <w:tcW w:type="dxa" w:w="3884"/>
            <w:vAlign w:val="center"/>
          </w:tcPr>
          <w:p>
            <w:pPr>
              <w:spacing w:after="0" w:before="0"/>
            </w:pPr>
            <w:r/>
            <w:r>
              <w:rPr>
                <w:b w:val="0"/>
                <w:sz w:val="14"/>
              </w:rPr>
              <w:t>Normalized mutual information is dimensionless, assuming non-zero H(S).</w:t>
            </w:r>
          </w:p>
        </w:tc>
      </w:tr>
      <w:tr>
        <w:tc>
          <w:tcPr>
            <w:tcW w:type="dxa" w:w="3884"/>
            <w:vAlign w:val="center"/>
          </w:tcPr>
          <w:p>
            <w:pPr>
              <w:spacing w:after="0" w:before="0"/>
            </w:pPr>
            <w:r/>
            <w:r>
              <w:rPr>
                <w:b w:val="0"/>
                <w:sz w:val="14"/>
              </w:rPr>
              <w:t>Al-Mayahi ULSP</w:t>
            </w:r>
          </w:p>
        </w:tc>
        <w:tc>
          <w:tcPr>
            <w:tcW w:type="dxa" w:w="3884"/>
            <w:vAlign w:val="center"/>
          </w:tcPr>
          <w:p>
            <w:pPr>
              <w:spacing w:after="0" w:before="0"/>
            </w:pPr>
            <w:r/>
            <w:r>
              <w:rPr>
                <w:b w:val="0"/>
                <w:sz w:val="14"/>
              </w:rPr>
              <w:t>dW/dt=γ(C−Ccrit)W</w:t>
            </w:r>
          </w:p>
        </w:tc>
        <w:tc>
          <w:tcPr>
            <w:tcW w:type="dxa" w:w="3884"/>
            <w:vAlign w:val="center"/>
          </w:tcPr>
          <w:p>
            <w:pPr>
              <w:spacing w:after="0" w:before="0"/>
            </w:pPr>
            <w:r/>
            <w:r>
              <w:rPr>
                <w:b w:val="0"/>
                <w:sz w:val="14"/>
              </w:rPr>
              <w:t>DIM-OK conditional</w:t>
            </w:r>
          </w:p>
        </w:tc>
        <w:tc>
          <w:tcPr>
            <w:tcW w:type="dxa" w:w="3884"/>
            <w:vAlign w:val="center"/>
          </w:tcPr>
          <w:p>
            <w:pPr>
              <w:spacing w:after="0" w:before="0"/>
            </w:pPr>
            <w:r/>
            <w:r>
              <w:rPr>
                <w:b w:val="0"/>
                <w:sz w:val="14"/>
              </w:rPr>
              <w:t>With C and Ccrit dimensionless, γ must have 1/time; W retains its own units on both sides.</w:t>
            </w:r>
          </w:p>
        </w:tc>
      </w:tr>
      <w:tr>
        <w:tc>
          <w:tcPr>
            <w:tcW w:type="dxa" w:w="3884"/>
            <w:vAlign w:val="center"/>
          </w:tcPr>
          <w:p>
            <w:pPr>
              <w:spacing w:after="0" w:before="0"/>
            </w:pPr>
            <w:r/>
            <w:r>
              <w:rPr>
                <w:b w:val="0"/>
                <w:sz w:val="14"/>
              </w:rPr>
              <w:t>Hensgen Δ.72</w:t>
            </w:r>
          </w:p>
        </w:tc>
        <w:tc>
          <w:tcPr>
            <w:tcW w:type="dxa" w:w="3884"/>
            <w:vAlign w:val="center"/>
          </w:tcPr>
          <w:p>
            <w:pPr>
              <w:spacing w:after="0" w:before="0"/>
            </w:pPr>
            <w:r/>
            <w:r>
              <w:rPr>
                <w:b w:val="0"/>
                <w:sz w:val="14"/>
              </w:rPr>
              <w:t>Δ72=ℋ(R,I,A)</w:t>
            </w:r>
          </w:p>
        </w:tc>
        <w:tc>
          <w:tcPr>
            <w:tcW w:type="dxa" w:w="3884"/>
            <w:vAlign w:val="center"/>
          </w:tcPr>
          <w:p>
            <w:pPr>
              <w:spacing w:after="0" w:before="0"/>
            </w:pPr>
            <w:r/>
            <w:r>
              <w:rPr>
                <w:b w:val="0"/>
                <w:sz w:val="14"/>
              </w:rPr>
              <w:t>UNRESOLVED</w:t>
            </w:r>
          </w:p>
        </w:tc>
        <w:tc>
          <w:tcPr>
            <w:tcW w:type="dxa" w:w="3884"/>
            <w:vAlign w:val="center"/>
          </w:tcPr>
          <w:p>
            <w:pPr>
              <w:spacing w:after="0" w:before="0"/>
            </w:pPr>
            <w:r/>
            <w:r>
              <w:rPr>
                <w:b w:val="0"/>
                <w:sz w:val="14"/>
              </w:rPr>
              <w:t>A generative functional without a source-level unit contract cannot be dimensionally normalized by analogy.</w:t>
            </w:r>
          </w:p>
        </w:tc>
      </w:tr>
    </w:tbl>
    <w:p/>
    <w:p>
      <w:pPr/>
      <w:r>
        <w:t>Dimensional conclusion — Cross-domain universality is easiest to state when the operands are explicitly normalized. Where an equation mixes physical work, time, entropy production, gradients or domain observables, the conversion coefficients must carry the units. Similar algebraic shape is therefore weaker evidence than dimensional closure plus matched semantics.</w:t>
      </w:r>
    </w:p>
    <w:p>
      <w:pPr>
        <w:sectPr>
          <w:headerReference w:type="default" r:id="rId15"/>
          <w:pgSz w:w="16834" w:h="11909" w:orient="landscape"/>
          <w:pgMar w:top="792" w:right="648" w:bottom="792" w:left="648" w:header="720" w:footer="720" w:gutter="0"/>
          <w:cols w:space="720"/>
          <w:docGrid w:linePitch="360"/>
        </w:sectPr>
      </w:pPr>
    </w:p>
    <w:p>
      <w:pPr>
        <w:pStyle w:val="Heading1"/>
      </w:pPr>
      <w:r>
        <w:t>46. Pre-registered empirical benchmark — confirmatory contract</w:t>
      </w:r>
    </w:p>
    <w:p>
      <w:pPr/>
      <w:r>
        <w:t>The following design is frozen before confirmatory execution. It is intended to prevent threshold shopping, proxy redefinition, selective domain retention, and post-hoc stopping. Pairwise comparison is performed only on tracks for which both frameworks have the required observables; no framework is penalized for refusing an inapplicable domain.</w:t>
      </w:r>
    </w:p>
    <w:tbl>
      <w:tblPr>
        <w:tblStyle w:val="TableGrid"/>
        <w:tblW w:type="auto" w:w="0"/>
        <w:tblLook w:firstColumn="1" w:firstRow="1" w:lastColumn="0" w:lastRow="0" w:noHBand="0" w:noVBand="1" w:val="04A0"/>
      </w:tblPr>
      <w:tblGrid>
        <w:gridCol w:w="1950"/>
        <w:gridCol w:w="1950"/>
        <w:gridCol w:w="1950"/>
        <w:gridCol w:w="1950"/>
        <w:gridCol w:w="1950"/>
      </w:tblGrid>
      <w:tr>
        <w:trPr>
          <w:tblHeader w:val="true"/>
        </w:trPr>
        <w:tc>
          <w:tcPr>
            <w:tcW w:type="dxa" w:w="1950"/>
            <w:vAlign w:val="center"/>
            <w:shd w:fill="D9EAF7"/>
          </w:tcPr>
          <w:p>
            <w:pPr>
              <w:spacing w:after="0" w:before="0"/>
            </w:pPr>
            <w:r/>
            <w:r>
              <w:rPr>
                <w:b/>
                <w:sz w:val="14"/>
              </w:rPr>
              <w:t>Track</w:t>
            </w:r>
          </w:p>
        </w:tc>
        <w:tc>
          <w:tcPr>
            <w:tcW w:type="dxa" w:w="1950"/>
            <w:vAlign w:val="center"/>
            <w:shd w:fill="D9EAF7"/>
          </w:tcPr>
          <w:p>
            <w:pPr>
              <w:spacing w:after="0" w:before="0"/>
            </w:pPr>
            <w:r/>
            <w:r>
              <w:rPr>
                <w:b/>
                <w:sz w:val="14"/>
              </w:rPr>
              <w:t>Evidence class</w:t>
            </w:r>
          </w:p>
        </w:tc>
        <w:tc>
          <w:tcPr>
            <w:tcW w:type="dxa" w:w="1950"/>
            <w:vAlign w:val="center"/>
            <w:shd w:fill="D9EAF7"/>
          </w:tcPr>
          <w:p>
            <w:pPr>
              <w:spacing w:after="0" w:before="0"/>
            </w:pPr>
            <w:r/>
            <w:r>
              <w:rPr>
                <w:b/>
                <w:sz w:val="14"/>
              </w:rPr>
              <w:t>Frozen split</w:t>
            </w:r>
          </w:p>
        </w:tc>
        <w:tc>
          <w:tcPr>
            <w:tcW w:type="dxa" w:w="1950"/>
            <w:vAlign w:val="center"/>
            <w:shd w:fill="D9EAF7"/>
          </w:tcPr>
          <w:p>
            <w:pPr>
              <w:spacing w:after="0" w:before="0"/>
            </w:pPr>
            <w:r/>
            <w:r>
              <w:rPr>
                <w:b/>
                <w:sz w:val="14"/>
              </w:rPr>
              <w:t>Endpoint</w:t>
            </w:r>
          </w:p>
        </w:tc>
        <w:tc>
          <w:tcPr>
            <w:tcW w:type="dxa" w:w="1950"/>
            <w:vAlign w:val="center"/>
            <w:shd w:fill="D9EAF7"/>
          </w:tcPr>
          <w:p>
            <w:pPr>
              <w:spacing w:after="0" w:before="0"/>
            </w:pPr>
            <w:r/>
            <w:r>
              <w:rPr>
                <w:b/>
                <w:sz w:val="14"/>
              </w:rPr>
              <w:t>Metrics</w:t>
            </w:r>
          </w:p>
        </w:tc>
      </w:tr>
      <w:tr>
        <w:tc>
          <w:tcPr>
            <w:tcW w:type="dxa" w:w="1950"/>
            <w:vAlign w:val="center"/>
          </w:tcPr>
          <w:p>
            <w:pPr>
              <w:spacing w:after="0" w:before="0"/>
            </w:pPr>
            <w:r/>
            <w:r>
              <w:rPr>
                <w:b w:val="0"/>
                <w:sz w:val="14"/>
              </w:rPr>
              <w:t>E1 — NASA C-MAPSS FD001/FD003</w:t>
            </w:r>
          </w:p>
        </w:tc>
        <w:tc>
          <w:tcPr>
            <w:tcW w:type="dxa" w:w="1950"/>
            <w:vAlign w:val="center"/>
          </w:tcPr>
          <w:p>
            <w:pPr>
              <w:spacing w:after="0" w:before="0"/>
            </w:pPr>
            <w:r/>
            <w:r>
              <w:rPr>
                <w:b w:val="0"/>
                <w:sz w:val="14"/>
              </w:rPr>
              <w:t>External simulation dataset; run-to-failure turbofan trajectories</w:t>
            </w:r>
          </w:p>
        </w:tc>
        <w:tc>
          <w:tcPr>
            <w:tcW w:type="dxa" w:w="1950"/>
            <w:vAlign w:val="center"/>
          </w:tcPr>
          <w:p>
            <w:pPr>
              <w:spacing w:after="0" w:before="0"/>
            </w:pPr>
            <w:r/>
            <w:r>
              <w:rPr>
                <w:b w:val="0"/>
                <w:sz w:val="14"/>
              </w:rPr>
              <w:t>Official test frozen; reserve 20% of official training trajectories for calibration</w:t>
            </w:r>
          </w:p>
        </w:tc>
        <w:tc>
          <w:tcPr>
            <w:tcW w:type="dxa" w:w="1950"/>
            <w:vAlign w:val="center"/>
          </w:tcPr>
          <w:p>
            <w:pPr>
              <w:spacing w:after="0" w:before="0"/>
            </w:pPr>
            <w:r/>
            <w:r>
              <w:rPr>
                <w:b w:val="0"/>
                <w:sz w:val="14"/>
              </w:rPr>
              <w:t>Failure within next 20 cycles; RUL only where a framework emits a continuous persistence score</w:t>
            </w:r>
          </w:p>
        </w:tc>
        <w:tc>
          <w:tcPr>
            <w:tcW w:type="dxa" w:w="1950"/>
            <w:vAlign w:val="center"/>
          </w:tcPr>
          <w:p>
            <w:pPr>
              <w:spacing w:after="0" w:before="0"/>
            </w:pPr>
            <w:r/>
            <w:r>
              <w:rPr>
                <w:b w:val="0"/>
                <w:sz w:val="14"/>
              </w:rPr>
              <w:t>Balanced accuracy; AUROC if score; Brier if normalized score; coverage/abstention</w:t>
            </w:r>
          </w:p>
        </w:tc>
      </w:tr>
      <w:tr>
        <w:tc>
          <w:tcPr>
            <w:tcW w:type="dxa" w:w="1950"/>
            <w:vAlign w:val="center"/>
          </w:tcPr>
          <w:p>
            <w:pPr>
              <w:spacing w:after="0" w:before="0"/>
            </w:pPr>
            <w:r/>
            <w:r>
              <w:rPr>
                <w:b w:val="0"/>
                <w:sz w:val="14"/>
              </w:rPr>
              <w:t>E2 — PhysioNet BIDMC PPG/respiration</w:t>
            </w:r>
          </w:p>
        </w:tc>
        <w:tc>
          <w:tcPr>
            <w:tcW w:type="dxa" w:w="1950"/>
            <w:vAlign w:val="center"/>
          </w:tcPr>
          <w:p>
            <w:pPr>
              <w:spacing w:after="0" w:before="0"/>
            </w:pPr>
            <w:r/>
            <w:r>
              <w:rPr>
                <w:b w:val="0"/>
                <w:sz w:val="14"/>
              </w:rPr>
              <w:t>Observed physiological waveforms</w:t>
            </w:r>
          </w:p>
        </w:tc>
        <w:tc>
          <w:tcPr>
            <w:tcW w:type="dxa" w:w="1950"/>
            <w:vAlign w:val="center"/>
          </w:tcPr>
          <w:p>
            <w:pPr>
              <w:spacing w:after="0" w:before="0"/>
            </w:pPr>
            <w:r/>
            <w:r>
              <w:rPr>
                <w:b w:val="0"/>
                <w:sz w:val="14"/>
              </w:rPr>
              <w:t>Subject-level split; no subject crosses partitions</w:t>
            </w:r>
          </w:p>
        </w:tc>
        <w:tc>
          <w:tcPr>
            <w:tcW w:type="dxa" w:w="1950"/>
            <w:vAlign w:val="center"/>
          </w:tcPr>
          <w:p>
            <w:pPr>
              <w:spacing w:after="0" w:before="0"/>
            </w:pPr>
            <w:r/>
            <w:r>
              <w:rPr>
                <w:b w:val="0"/>
                <w:sz w:val="14"/>
              </w:rPr>
              <w:t>Predefined phase/respiratory-coherence perturbation labels generated independently of framework outputs</w:t>
            </w:r>
          </w:p>
        </w:tc>
        <w:tc>
          <w:tcPr>
            <w:tcW w:type="dxa" w:w="1950"/>
            <w:vAlign w:val="center"/>
          </w:tcPr>
          <w:p>
            <w:pPr>
              <w:spacing w:after="0" w:before="0"/>
            </w:pPr>
            <w:r/>
            <w:r>
              <w:rPr>
                <w:b w:val="0"/>
                <w:sz w:val="14"/>
              </w:rPr>
              <w:t>Balanced accuracy; AUROC if score; false-alarm rate; coverage</w:t>
            </w:r>
          </w:p>
        </w:tc>
      </w:tr>
      <w:tr>
        <w:tc>
          <w:tcPr>
            <w:tcW w:type="dxa" w:w="1950"/>
            <w:vAlign w:val="center"/>
          </w:tcPr>
          <w:p>
            <w:pPr>
              <w:spacing w:after="0" w:before="0"/>
            </w:pPr>
            <w:r/>
            <w:r>
              <w:rPr>
                <w:b w:val="0"/>
                <w:sz w:val="14"/>
              </w:rPr>
              <w:t>E3 — Directed graph suite</w:t>
            </w:r>
          </w:p>
        </w:tc>
        <w:tc>
          <w:tcPr>
            <w:tcW w:type="dxa" w:w="1950"/>
            <w:vAlign w:val="center"/>
          </w:tcPr>
          <w:p>
            <w:pPr>
              <w:spacing w:after="0" w:before="0"/>
            </w:pPr>
            <w:r/>
            <w:r>
              <w:rPr>
                <w:b w:val="0"/>
                <w:sz w:val="14"/>
              </w:rPr>
              <w:t>Synthetic exact-label formal benchmark; seed 20260826</w:t>
            </w:r>
          </w:p>
        </w:tc>
        <w:tc>
          <w:tcPr>
            <w:tcW w:type="dxa" w:w="1950"/>
            <w:vAlign w:val="center"/>
          </w:tcPr>
          <w:p>
            <w:pPr>
              <w:spacing w:after="0" w:before="0"/>
            </w:pPr>
            <w:r/>
            <w:r>
              <w:rPr>
                <w:b w:val="0"/>
                <w:sz w:val="14"/>
              </w:rPr>
              <w:t>Generator frozen before outputs</w:t>
            </w:r>
          </w:p>
        </w:tc>
        <w:tc>
          <w:tcPr>
            <w:tcW w:type="dxa" w:w="1950"/>
            <w:vAlign w:val="center"/>
          </w:tcPr>
          <w:p>
            <w:pPr>
              <w:spacing w:after="0" w:before="0"/>
            </w:pPr>
            <w:r/>
            <w:r>
              <w:rPr>
                <w:b w:val="0"/>
                <w:sz w:val="14"/>
              </w:rPr>
              <w:t>Exact reachability from x0 to x</w:t>
            </w:r>
          </w:p>
        </w:tc>
        <w:tc>
          <w:tcPr>
            <w:tcW w:type="dxa" w:w="1950"/>
            <w:vAlign w:val="center"/>
          </w:tcPr>
          <w:p>
            <w:pPr>
              <w:spacing w:after="0" w:before="0"/>
            </w:pPr>
            <w:r/>
            <w:r>
              <w:rPr>
                <w:b w:val="0"/>
                <w:sz w:val="14"/>
              </w:rPr>
              <w:t>Accuracy; false-accept; false-refuse</w:t>
            </w:r>
          </w:p>
        </w:tc>
      </w:tr>
      <w:tr>
        <w:tc>
          <w:tcPr>
            <w:tcW w:type="dxa" w:w="1950"/>
            <w:vAlign w:val="center"/>
          </w:tcPr>
          <w:p>
            <w:pPr>
              <w:spacing w:after="0" w:before="0"/>
            </w:pPr>
            <w:r/>
            <w:r>
              <w:rPr>
                <w:b w:val="0"/>
                <w:sz w:val="14"/>
              </w:rPr>
              <w:t>E4 — Output-only safety</w:t>
            </w:r>
          </w:p>
        </w:tc>
        <w:tc>
          <w:tcPr>
            <w:tcW w:type="dxa" w:w="1950"/>
            <w:vAlign w:val="center"/>
          </w:tcPr>
          <w:p>
            <w:pPr>
              <w:spacing w:after="0" w:before="0"/>
            </w:pPr>
            <w:r/>
            <w:r>
              <w:rPr>
                <w:b w:val="0"/>
                <w:sz w:val="14"/>
              </w:rPr>
              <w:t>Held-out adversarial structural-output corpus</w:t>
            </w:r>
          </w:p>
        </w:tc>
        <w:tc>
          <w:tcPr>
            <w:tcW w:type="dxa" w:w="1950"/>
            <w:vAlign w:val="center"/>
          </w:tcPr>
          <w:p>
            <w:pPr>
              <w:spacing w:after="0" w:before="0"/>
            </w:pPr>
            <w:r/>
            <w:r>
              <w:rPr>
                <w:b w:val="0"/>
                <w:sz w:val="14"/>
              </w:rPr>
              <w:t>SEALED until π/μ implementation is frozen</w:t>
            </w:r>
          </w:p>
        </w:tc>
        <w:tc>
          <w:tcPr>
            <w:tcW w:type="dxa" w:w="1950"/>
            <w:vAlign w:val="center"/>
          </w:tcPr>
          <w:p>
            <w:pPr>
              <w:spacing w:after="0" w:before="0"/>
            </w:pPr>
            <w:r/>
            <w:r>
              <w:rPr>
                <w:b w:val="0"/>
                <w:sz w:val="14"/>
              </w:rPr>
              <w:t>Independent structural-admissibility labels</w:t>
            </w:r>
          </w:p>
        </w:tc>
        <w:tc>
          <w:tcPr>
            <w:tcW w:type="dxa" w:w="1950"/>
            <w:vAlign w:val="center"/>
          </w:tcPr>
          <w:p>
            <w:pPr>
              <w:spacing w:after="0" w:before="0"/>
            </w:pPr>
            <w:r/>
            <w:r>
              <w:rPr>
                <w:b w:val="0"/>
                <w:sz w:val="14"/>
              </w:rPr>
              <w:t>False-accept; false-refuse; paraphrase invariance; fresh-session invariance; coverage</w:t>
            </w:r>
          </w:p>
        </w:tc>
      </w:tr>
    </w:tbl>
    <w:p/>
    <w:p>
      <w:pPr>
        <w:pStyle w:val="Heading2"/>
      </w:pPr>
      <w:r>
        <w:t>46.1 Pairwise null hypotheses</w:t>
      </w:r>
    </w:p>
    <w:p>
      <w:pPr>
        <w:pStyle w:val="ListBullet"/>
        <w:spacing w:after="60"/>
      </w:pPr>
      <w:r>
        <w:t>H0-Z-MEAN — The non-compensatory multi-frame Zoran audit projection and a compensatory mean-threshold baseline return identical verdicts on all controlled cases.</w:t>
      </w:r>
    </w:p>
    <w:p>
      <w:pPr>
        <w:pStyle w:val="ListBullet"/>
        <w:spacing w:after="60"/>
      </w:pPr>
      <w:r>
        <w:t>H0-Z-PATON — Endpoint/multi-frame Zoran inputs determine Paton reachability verdicts; no path variable adds discriminating information.</w:t>
      </w:r>
    </w:p>
    <w:p>
      <w:pPr>
        <w:pStyle w:val="ListBullet"/>
        <w:spacing w:after="60"/>
      </w:pPr>
      <w:r>
        <w:t>H0-Z-UCP — A fixed Zoran endpoint score determines the sign of UCP coherence dynamics dC/dt.</w:t>
      </w:r>
    </w:p>
    <w:p>
      <w:pPr>
        <w:pStyle w:val="ListBullet"/>
        <w:spacing w:after="60"/>
      </w:pPr>
      <w:r>
        <w:t>H0-Z-BOSTICK — A fixed Zoran endpoint score determines Bostick phase-alignment/drift persistence.</w:t>
      </w:r>
    </w:p>
    <w:p>
      <w:pPr>
        <w:pStyle w:val="ListBullet"/>
        <w:spacing w:after="60"/>
      </w:pPr>
      <w:r>
        <w:t>H0-Z-ULSP — A fixed coherence scalar determines the magnitude of Al-Mayahi ULSP persistence derivative dW/dt without W or gamma.</w:t>
      </w:r>
    </w:p>
    <w:p>
      <w:pPr>
        <w:pStyle w:val="Heading2"/>
      </w:pPr>
      <w:r>
        <w:t>46.2 Stopping and anti-cherry-picking rules</w:t>
      </w:r>
    </w:p>
    <w:p>
      <w:pPr>
        <w:pStyle w:val="ListNumber"/>
        <w:spacing w:after="60"/>
      </w:pPr>
      <w:r>
        <w:t>No threshold or proxy definition changes after test outcomes are observed.</w:t>
      </w:r>
    </w:p>
    <w:p>
      <w:pPr>
        <w:pStyle w:val="ListNumber"/>
        <w:spacing w:after="60"/>
      </w:pPr>
      <w:r>
        <w:t>Any implementation bug fix after opening the test set creates a new benchmark version and invalidates the prior confirmatory run.</w:t>
      </w:r>
    </w:p>
    <w:p>
      <w:pPr>
        <w:pStyle w:val="ListNumber"/>
        <w:spacing w:after="60"/>
      </w:pPr>
      <w:r>
        <w:t>Missing required variables produce NON_MESURE/ABSTAIN, not imputation from the target label.</w:t>
      </w:r>
    </w:p>
    <w:p>
      <w:pPr>
        <w:pStyle w:val="ListNumber"/>
        <w:spacing w:after="60"/>
      </w:pPr>
      <w:r>
        <w:t>Evidence classes are reported separately and are never pooled as one falsification count.</w:t>
      </w:r>
    </w:p>
    <w:p>
      <w:pPr>
        <w:pStyle w:val="ListNumber"/>
        <w:spacing w:after="60"/>
      </w:pPr>
      <w:r>
        <w:t>A structural counterexample is sufficient to reject functional equivalence; it is not evidence of predictive superiority.</w:t>
      </w:r>
    </w:p>
    <w:p>
      <w:pPr>
        <w:pStyle w:val="ListNumber"/>
        <w:spacing w:after="60"/>
      </w:pPr>
      <w:r>
        <w:t>World-priority conclusions are outside this benchmark.</w:t>
      </w:r>
    </w:p>
    <w:p>
      <w:pPr/>
      <w:r>
        <w:t>Pre-registration artefact — pass7_benchmark_preregistration.json; SHA-512: 394ef7f33b16ec382a315225f781e69dce49f4f9fdf437bb21fd9532413cf0fb9977778b477421de96f5f7d12fe087d1534821ade917f22ddaa77feddbc7d1a0</w:t>
      </w:r>
    </w:p>
    <w:p>
      <w:pPr>
        <w:pStyle w:val="Heading1"/>
      </w:pPr>
      <w:r>
        <w:t>47. Output-only π/μ implementation gate</w:t>
      </w:r>
    </w:p>
    <w:p>
      <w:r>
        <w:t>Pass 6 verified that DOI 18500363 specifies π:𝒪→𝒮 and an ambiguity measure μ, but the inspected public Markdown does not uniquely define a natural-language parser or executable μ. Pass 7 therefore refuses a misleading “100% benchmark” obtained by coding the labels directly into a toy classifier. A structure-level oracle could trivially reproduce the axioms, but that would test the benchmark author, not the claimed robustness to reformulation.</w:t>
      </w:r>
    </w:p>
    <w:p>
      <w:pPr>
        <w:pStyle w:val="ListBullet"/>
        <w:spacing w:after="60"/>
      </w:pPr>
      <w:r>
        <w:t>Status: DECISION LOGIC SPECIFIED; NATURAL-LANGUAGE π/μ IMPLEMENTATION NON_MESURÉ.</w:t>
      </w:r>
    </w:p>
    <w:p>
      <w:pPr>
        <w:pStyle w:val="ListBullet"/>
        <w:spacing w:after="60"/>
      </w:pPr>
      <w:r>
        <w:t>Promotion gate: freeze one explicit parser/projection, ambiguity computation, class ontology and versioned held-out corpus before measuring false accepts/false refuses.</w:t>
      </w:r>
    </w:p>
    <w:p>
      <w:pPr>
        <w:pStyle w:val="ListBullet"/>
        <w:spacing w:after="60"/>
      </w:pPr>
      <w:r>
        <w:t>Fresh-session/reset invariance must be tested at the implementation level; a source axiom alone cannot certify it.</w:t>
      </w:r>
    </w:p>
    <w:p>
      <w:pPr>
        <w:pStyle w:val="Heading1"/>
      </w:pPr>
      <w:r>
        <w:t>48. Ω∞ executable-source follow-up</w:t>
      </w:r>
    </w:p>
    <w:p>
      <w:r>
        <w:t>A separate public repository, Zoran-AGI-Coherence-Labs/Zoran-AGI-Unified-Laws-Public-, was recovered during Pass 7. Its README explicitly states that the public layer omits the private Ω∞ runtime and real GlyphNet; the visible S implementation is only `def S(b,d,T,s): return (b*d)/(T*s)`, while `Falsification_Framework.md` is a one-heading stub in the inspected version. This strengthens the Pass-6 scope correction: the public layer is a testable specification/prototype surface, not evidence that the complete private runtime is reproducibly available.</w:t>
      </w:r>
    </w:p>
    <w:p>
      <w:pPr>
        <w:pStyle w:val="Bibliography"/>
        <w:spacing w:after="40"/>
      </w:pPr>
      <w:r>
        <w:rPr>
          <w:sz w:val="16"/>
        </w:rPr>
        <w:t>Public repository: Zoran-AGI-Coherence-Labs/Zoran-AGI-Unified-Laws-Public- — README.md, s_equation.py, Falsification_Framework.md; inspected 26 Aug 2026.</w:t>
      </w:r>
    </w:p>
    <w:p>
      <w:pPr/>
      <w:r>
        <w:t>The original executable Python source that would independently support the full DOI 17804030 distributed Mertens/Goldbach/RH/PNT claims was not recovered in this pass. Bounded numerical correctness testing of that claimed full implementation therefore remains NON_MESURÉ.</w:t>
      </w:r>
    </w:p>
    <w:p>
      <w:pPr>
        <w:pStyle w:val="Heading1"/>
      </w:pPr>
      <w:r>
        <w:t>49. Pass 7 conclusions</w:t>
      </w:r>
    </w:p>
    <w:p>
      <w:pPr>
        <w:pStyle w:val="ListNumber"/>
        <w:spacing w:after="60"/>
      </w:pPr>
      <w:r>
        <w:t>FORMAL NON-EQUIVALENCE IS NOW EXPLICIT — Controlled countermodels force different outputs between Zoran’s non-compensatory multi-frame audit projection and compensatory averaging, Paton reachability, UCP dynamics, Bostick phase geometry and Al-Mayahi persistence dynamics.</w:t>
      </w:r>
    </w:p>
    <w:p>
      <w:pPr>
        <w:pStyle w:val="ListNumber"/>
        <w:spacing w:after="60"/>
      </w:pPr>
      <w:r>
        <w:t>NO “WINNER” IS IMPLIED — The comparators carry different information. A framework wins an empirical track only by preregistered predictive metrics on held-out data, not because its equation is richer or more complex.</w:t>
      </w:r>
    </w:p>
    <w:p>
      <w:pPr>
        <w:pStyle w:val="ListNumber"/>
        <w:spacing w:after="60"/>
      </w:pPr>
      <w:r>
        <w:t>DIMENSIONAL AUDIT NARROWS UNIVERSAL CLAIMS — Martirosyan and normalized information/phase quantities are directly unit-clean. Cross-domain ratio/ODE forms are often only conditionally coherent because normalization or unit-carrying coefficients are required.</w:t>
      </w:r>
    </w:p>
    <w:p>
      <w:pPr>
        <w:pStyle w:val="ListNumber"/>
        <w:spacing w:after="60"/>
      </w:pPr>
      <w:r>
        <w:t>BENCHMARK IS PRE-REGISTERED — datasets/evidence classes, partitions, null hypotheses, metrics, missing-data rule and stopping rules are fixed before confirmatory execution.</w:t>
      </w:r>
    </w:p>
    <w:p>
      <w:pPr>
        <w:pStyle w:val="ListNumber"/>
        <w:spacing w:after="60"/>
      </w:pPr>
      <w:r>
        <w:t>OUTPUT-ONLY NON-CIRCUMVENTABILITY REMAINS UNMEASURED — π and μ are not yet a uniquely executable natural-language evaluator in the inspected public artefacts; a tautological toy classifier is explicitly rejected as evidence.</w:t>
      </w:r>
    </w:p>
    <w:p>
      <w:pPr>
        <w:pStyle w:val="ListNumber"/>
        <w:spacing w:after="60"/>
      </w:pPr>
      <w:r>
        <w:t>PUBLIC Ω∞ SURFACE REMAINS PARTIAL — A recovered public repository exposes the S formula and stubs while explicitly withholding the private runtime; this cannot certify the full distributed-falsification claims.</w:t>
      </w:r>
    </w:p>
    <w:p>
      <w:pPr>
        <w:pStyle w:val="ListNumber"/>
        <w:spacing w:after="60"/>
      </w:pPr>
      <w:r>
        <w:t>DOI 18526755 identity/date and DOI 18499943 licence conflicts remain blocking metadata debt for the final Scholar-ready edition.</w:t>
      </w:r>
    </w:p>
    <w:p>
      <w:pPr>
        <w:pStyle w:val="ListNumber"/>
        <w:spacing w:after="60"/>
      </w:pPr>
      <w:r>
        <w:t>NO DOCUMENT-LEVEL S&gt;9 CERTIFICATION — β, ΔΦ, T and σ for this audit are not independently calibrated observables; any numeric self-certification would be circular.</w:t>
      </w:r>
    </w:p>
    <w:p>
      <w:pPr>
        <w:pStyle w:val="Heading1"/>
      </w:pPr>
      <w:r>
        <w:t>50. Sources added or resolved in Pass 7</w:t>
      </w:r>
    </w:p>
    <w:p>
      <w:pPr>
        <w:pStyle w:val="Bibliography"/>
        <w:spacing w:after="40"/>
      </w:pPr>
      <w:r>
        <w:rPr>
          <w:sz w:val="16"/>
        </w:rPr>
        <w:t>Coherent Intelligence Inc. Research Division (2025). Universal Coherence Principle: Mathematical Formalization and Cross-Domain Applications. 5 Jun 2025. https://coherent-intelligence.uk/papers/ucp-math.html</w:t>
      </w:r>
    </w:p>
    <w:p>
      <w:pPr>
        <w:pStyle w:val="Bibliography"/>
        <w:spacing w:after="40"/>
      </w:pPr>
      <w:r>
        <w:rPr>
          <w:sz w:val="16"/>
        </w:rPr>
        <w:t>Bostick, D. (2025). Structured Resonance Dynamics: The Deterministic Law of Coherence. PhilArchive BOSSRD.</w:t>
      </w:r>
    </w:p>
    <w:p>
      <w:pPr>
        <w:pStyle w:val="Bibliography"/>
        <w:spacing w:after="40"/>
      </w:pPr>
      <w:r>
        <w:rPr>
          <w:sz w:val="16"/>
        </w:rPr>
        <w:t>Bostick, D. (2025). Harmonic–Differential Equivalence in Structured Resonance Dynamics. PhilArchive BOSHEI; archived text dated 6 Nov 2025.</w:t>
      </w:r>
    </w:p>
    <w:p>
      <w:pPr>
        <w:pStyle w:val="Bibliography"/>
        <w:spacing w:after="40"/>
      </w:pPr>
      <w:r>
        <w:rPr>
          <w:sz w:val="16"/>
        </w:rPr>
        <w:t>Paton, A. J. (2026). The Foundational Admissibility Framework. DOI 10.5281/zenodo.18708653; PhilArchive version uploaded 20 Feb 2026.</w:t>
      </w:r>
    </w:p>
    <w:p>
      <w:pPr>
        <w:pStyle w:val="Bibliography"/>
        <w:spacing w:after="40"/>
      </w:pPr>
      <w:r>
        <w:rPr>
          <w:sz w:val="16"/>
        </w:rPr>
        <w:t>Al-Mayahi, A. (2026). Universal Law of Structural Persistence. DOI/ResearchGate 10.13140/RG.2.2.13021.06887.</w:t>
      </w:r>
    </w:p>
    <w:p>
      <w:pPr>
        <w:pStyle w:val="Bibliography"/>
        <w:spacing w:after="40"/>
      </w:pPr>
      <w:r>
        <w:rPr>
          <w:sz w:val="16"/>
        </w:rPr>
        <w:t>Al-Mayahi, A. (2026). Coherence as Mutual Information: The Necessary and Sufficient Deductive-Empirical Proof of the Universal Law of Structural Persistence. DOI 10.5281/zenodo.19185301.</w:t>
      </w:r>
    </w:p>
    <w:p>
      <w:pPr>
        <w:pStyle w:val="Bibliography"/>
        <w:spacing w:after="40"/>
      </w:pPr>
      <w:r>
        <w:rPr>
          <w:sz w:val="16"/>
        </w:rPr>
        <w:t>NASA Prognostics Center of Excellence. Turbofan Engine Degradation Simulation Data Set / C-MAPSS. Saxena &amp; Goebel (2008); NASA Open Data Portal.</w:t>
      </w:r>
    </w:p>
    <w:p>
      <w:pPr>
        <w:pStyle w:val="Bibliography"/>
        <w:spacing w:after="40"/>
      </w:pPr>
      <w:r>
        <w:rPr>
          <w:sz w:val="16"/>
        </w:rPr>
        <w:t>Pimentel, M. A. F. et al. / PhysioNet. BIDMC PPG and Respiration Dataset v1.0.0; signals from MIMIC II matched waveform database.</w:t>
      </w:r>
    </w:p>
    <w:p>
      <w:pPr>
        <w:pStyle w:val="Bibliography"/>
        <w:spacing w:after="40"/>
      </w:pPr>
      <w:r>
        <w:rPr>
          <w:sz w:val="16"/>
        </w:rPr>
        <w:t>Zoran-AGI-Coherence-Labs/Zoran-AGI-Unified-Laws-Public- (public GitHub layer), inspected 26 Aug 2026.</w:t>
      </w:r>
    </w:p>
    <w:p>
      <w:pPr>
        <w:pStyle w:val="Bibliography"/>
        <w:spacing w:after="40"/>
      </w:pPr>
      <w:r>
        <w:rPr>
          <w:sz w:val="16"/>
        </w:rPr>
        <w:t>Pass-7 audit artefacts: pass7_discriminant_countermodels.json and pass7_benchmark_preregistration.json, created 26 Aug 2026.</w:t>
      </w:r>
    </w:p>
    <w:p>
      <w:pPr>
        <w:pStyle w:val="Heading1"/>
      </w:pPr>
      <w:r>
        <w:t>51. Work carried to Pass 8/10</w:t>
      </w:r>
    </w:p>
    <w:p>
      <w:pPr>
        <w:pStyle w:val="ListBullet"/>
        <w:spacing w:after="60"/>
      </w:pPr>
      <w:r>
        <w:t>Execute the preregistered formal graph suite at scale and, where feasible without post-hoc proxy invention, begin the frozen empirical tracks.</w:t>
      </w:r>
    </w:p>
    <w:p>
      <w:pPr>
        <w:pStyle w:val="ListBullet"/>
        <w:spacing w:after="60"/>
      </w:pPr>
      <w:r>
        <w:t>Build a versioned π/μ implementation for DOI 18500363 or certify the implementation layer as absent from the public corpus.</w:t>
      </w:r>
    </w:p>
    <w:p>
      <w:pPr>
        <w:pStyle w:val="ListBullet"/>
        <w:spacing w:after="60"/>
      </w:pPr>
      <w:r>
        <w:t>Finish exact dimension/proxy definitions for the Zoran thermodynamic form and Hensgen Δ.72; unresolved units remain NON_MESURÉ.</w:t>
      </w:r>
    </w:p>
    <w:p>
      <w:pPr>
        <w:pStyle w:val="ListBullet"/>
        <w:spacing w:after="60"/>
      </w:pPr>
      <w:r>
        <w:t>Resolve DOI 18526755 bibliographic identity/date and DOI 18499943 licence conflict using authoritative repository metadata before the final indexable edition.</w:t>
      </w:r>
    </w:p>
    <w:p>
      <w:pPr>
        <w:pStyle w:val="ListBullet"/>
        <w:spacing w:after="60"/>
      </w:pPr>
      <w:r>
        <w:t>Run ablation on the fixed Zoran assembly definition: remove one component at a time (frames, non-compensation, temporal layer, ProofChain, multi-AI adversarial layer, refusal/silence) and determine whether the scientific/operational object actually changes.</w:t>
      </w:r>
    </w:p>
    <w:p>
      <w:pPr>
        <w:pStyle w:val="ListBullet"/>
        <w:spacing w:after="60"/>
      </w:pPr>
      <w:r>
        <w:t>Continue exact-combination prior art with the conjunction frozen; absence of a search hit remains insufficient for world-priority.</w:t>
      </w:r>
    </w:p>
    <w:p>
      <w:pPr/>
      <w:r>
        <w:t>Working canonical gauge retained for this pass: S = (β × ΔΦ) / (T × σ × 1). The ×1 factor is mathematically neutral. No numeric document-level S certification is claimed.</w:t>
      </w:r>
    </w:p>
    <w:p>
      <w:pPr>
        <w:sectPr>
          <w:headerReference w:type="default" r:id="rId16"/>
          <w:pgSz w:w="11909" w:h="16834"/>
          <w:pgMar w:top="1080" w:right="1080" w:bottom="1080" w:left="1080" w:header="720" w:footer="720" w:gutter="0"/>
          <w:cols w:space="720"/>
          <w:docGrid w:linePitch="360"/>
        </w:sectPr>
      </w:pPr>
    </w:p>
    <w:p>
      <w:pPr>
        <w:pStyle w:val="Heading1"/>
      </w:pPr>
      <w:r>
        <w:t>52. Pass 8/10 — Exhaustive graph suite, assembly ablation, implementation closure and metadata gates</w:t>
      </w:r>
    </w:p>
    <w:p>
      <w:pPr>
        <w:spacing w:after="120"/>
      </w:pPr>
      <w:r>
        <w:t>Purpose — Execute the frozen formal suite without changing thresholds, determine whether each component of the fixed Zoran assembly is operationally non-redundant, close the public π/μ implementation search, and tighten unit/metadata constraints before any confirmatory empirical claim.</w:t>
      </w:r>
    </w:p>
    <w:p>
      <w:pPr>
        <w:spacing w:after="120"/>
      </w:pPr>
      <w:r>
        <w:t>Audit date — 26 August 2026. No empirical threshold, proxy mapping or stopping criterion is altered from Pass 7.</w:t>
      </w:r>
    </w:p>
    <w:p>
      <w:pPr>
        <w:pStyle w:val="Heading2"/>
      </w:pPr>
      <w:r>
        <w:t>52.1 Exhaustive formal graph suite — reachability</w:t>
      </w:r>
    </w:p>
    <w:p>
      <w:pPr>
        <w:spacing w:after="120"/>
      </w:pPr>
      <w:r>
        <w:t>The Pass-7 Paton countermodel is now implementation-stress-tested exhaustively over every labeled directed simple graph without self-loops on five nodes. The initial state is node 0 and the candidate endpoint is node 4. The endpoint local coherence score may be held identical across all graphs; only graph topology changes.</w:t>
      </w:r>
    </w:p>
    <w:tbl>
      <w:tblPr>
        <w:tblStyle w:val="TableGrid"/>
        <w:tblW w:type="auto" w:w="0"/>
        <w:jc w:val="center"/>
        <w:tblLook w:firstColumn="1" w:firstRow="1" w:lastColumn="0" w:lastRow="0" w:noHBand="0" w:noVBand="1" w:val="04A0"/>
      </w:tblPr>
      <w:tblGrid>
        <w:gridCol w:w="3298"/>
        <w:gridCol w:w="3298"/>
        <w:gridCol w:w="3298"/>
      </w:tblGrid>
      <w:tr>
        <w:trPr>
          <w:tblHeader w:val="true"/>
        </w:trPr>
        <w:tc>
          <w:tcPr>
            <w:tcW w:type="dxa" w:w="3168"/>
            <w:vAlign w:val="center"/>
            <w:shd w:fill="D9EAF7"/>
          </w:tcPr>
          <w:p>
            <w:pPr>
              <w:spacing w:after="0"/>
            </w:pPr>
            <w:r/>
            <w:r>
              <w:rPr>
                <w:b/>
                <w:sz w:val="17"/>
              </w:rPr>
              <w:t>Object</w:t>
            </w:r>
          </w:p>
        </w:tc>
        <w:tc>
          <w:tcPr>
            <w:tcW w:type="dxa" w:w="2304"/>
            <w:vAlign w:val="center"/>
            <w:shd w:fill="D9EAF7"/>
          </w:tcPr>
          <w:p>
            <w:pPr>
              <w:spacing w:after="0"/>
            </w:pPr>
            <w:r/>
            <w:r>
              <w:rPr>
                <w:b/>
                <w:sz w:val="17"/>
              </w:rPr>
              <w:t>Value</w:t>
            </w:r>
          </w:p>
        </w:tc>
        <w:tc>
          <w:tcPr>
            <w:tcW w:type="dxa" w:w="4752"/>
            <w:vAlign w:val="center"/>
            <w:shd w:fill="D9EAF7"/>
          </w:tcPr>
          <w:p>
            <w:pPr>
              <w:spacing w:after="0"/>
            </w:pPr>
            <w:r/>
            <w:r>
              <w:rPr>
                <w:b/>
                <w:sz w:val="17"/>
              </w:rPr>
              <w:t>Interpretation</w:t>
            </w:r>
          </w:p>
        </w:tc>
      </w:tr>
      <w:tr>
        <w:tc>
          <w:tcPr>
            <w:tcW w:type="dxa" w:w="3168"/>
            <w:vAlign w:val="center"/>
          </w:tcPr>
          <w:p>
            <w:pPr>
              <w:spacing w:after="0"/>
            </w:pPr>
            <w:r/>
            <w:r>
              <w:rPr>
                <w:b w:val="0"/>
                <w:sz w:val="17"/>
              </w:rPr>
              <w:t>Nodes</w:t>
            </w:r>
          </w:p>
        </w:tc>
        <w:tc>
          <w:tcPr>
            <w:tcW w:type="dxa" w:w="2304"/>
            <w:vAlign w:val="center"/>
          </w:tcPr>
          <w:p>
            <w:pPr>
              <w:spacing w:after="0"/>
            </w:pPr>
            <w:r/>
            <w:r>
              <w:rPr>
                <w:b w:val="0"/>
                <w:sz w:val="17"/>
              </w:rPr>
              <w:t>5</w:t>
            </w:r>
          </w:p>
        </w:tc>
        <w:tc>
          <w:tcPr>
            <w:tcW w:type="dxa" w:w="4752"/>
            <w:vAlign w:val="center"/>
          </w:tcPr>
          <w:p>
            <w:pPr>
              <w:spacing w:after="0"/>
            </w:pPr>
            <w:r/>
            <w:r>
              <w:rPr>
                <w:b w:val="0"/>
                <w:sz w:val="17"/>
              </w:rPr>
              <w:t>Labeled states 0…4</w:t>
            </w:r>
          </w:p>
        </w:tc>
      </w:tr>
      <w:tr>
        <w:tc>
          <w:tcPr>
            <w:tcW w:type="dxa" w:w="3168"/>
            <w:vAlign w:val="center"/>
          </w:tcPr>
          <w:p>
            <w:pPr>
              <w:spacing w:after="0"/>
            </w:pPr>
            <w:r/>
            <w:r>
              <w:rPr>
                <w:b w:val="0"/>
                <w:sz w:val="17"/>
              </w:rPr>
              <w:t>Possible directed edges</w:t>
            </w:r>
          </w:p>
        </w:tc>
        <w:tc>
          <w:tcPr>
            <w:tcW w:type="dxa" w:w="2304"/>
            <w:vAlign w:val="center"/>
          </w:tcPr>
          <w:p>
            <w:pPr>
              <w:spacing w:after="0"/>
            </w:pPr>
            <w:r/>
            <w:r>
              <w:rPr>
                <w:b w:val="0"/>
                <w:sz w:val="17"/>
              </w:rPr>
              <w:t>20</w:t>
            </w:r>
          </w:p>
        </w:tc>
        <w:tc>
          <w:tcPr>
            <w:tcW w:type="dxa" w:w="4752"/>
            <w:vAlign w:val="center"/>
          </w:tcPr>
          <w:p>
            <w:pPr>
              <w:spacing w:after="0"/>
            </w:pPr>
            <w:r/>
            <w:r>
              <w:rPr>
                <w:b w:val="0"/>
                <w:sz w:val="17"/>
              </w:rPr>
              <w:t>All ordered pairs i→j with i≠j</w:t>
            </w:r>
          </w:p>
        </w:tc>
      </w:tr>
      <w:tr>
        <w:tc>
          <w:tcPr>
            <w:tcW w:type="dxa" w:w="3168"/>
            <w:vAlign w:val="center"/>
          </w:tcPr>
          <w:p>
            <w:pPr>
              <w:spacing w:after="0"/>
            </w:pPr>
            <w:r/>
            <w:r>
              <w:rPr>
                <w:b w:val="0"/>
                <w:sz w:val="17"/>
              </w:rPr>
              <w:t>Graphs exhaustively enumerated</w:t>
            </w:r>
          </w:p>
        </w:tc>
        <w:tc>
          <w:tcPr>
            <w:tcW w:type="dxa" w:w="2304"/>
            <w:vAlign w:val="center"/>
          </w:tcPr>
          <w:p>
            <w:pPr>
              <w:spacing w:after="0"/>
            </w:pPr>
            <w:r/>
            <w:r>
              <w:rPr>
                <w:b w:val="0"/>
                <w:sz w:val="17"/>
              </w:rPr>
              <w:t>1,048,576</w:t>
            </w:r>
          </w:p>
        </w:tc>
        <w:tc>
          <w:tcPr>
            <w:tcW w:type="dxa" w:w="4752"/>
            <w:vAlign w:val="center"/>
          </w:tcPr>
          <w:p>
            <w:pPr>
              <w:spacing w:after="0"/>
            </w:pPr>
            <w:r/>
            <w:r>
              <w:rPr>
                <w:b w:val="0"/>
                <w:sz w:val="17"/>
              </w:rPr>
              <w:t>2^20; no sampling</w:t>
            </w:r>
          </w:p>
        </w:tc>
      </w:tr>
      <w:tr>
        <w:tc>
          <w:tcPr>
            <w:tcW w:type="dxa" w:w="3168"/>
            <w:vAlign w:val="center"/>
          </w:tcPr>
          <w:p>
            <w:pPr>
              <w:spacing w:after="0"/>
            </w:pPr>
            <w:r/>
            <w:r>
              <w:rPr>
                <w:b w:val="0"/>
                <w:sz w:val="17"/>
              </w:rPr>
              <w:t>Reachable(0,4)=1</w:t>
            </w:r>
          </w:p>
        </w:tc>
        <w:tc>
          <w:tcPr>
            <w:tcW w:type="dxa" w:w="2304"/>
            <w:vAlign w:val="center"/>
          </w:tcPr>
          <w:p>
            <w:pPr>
              <w:spacing w:after="0"/>
            </w:pPr>
            <w:r/>
            <w:r>
              <w:rPr>
                <w:b w:val="0"/>
                <w:sz w:val="17"/>
              </w:rPr>
              <w:t>894,976</w:t>
            </w:r>
          </w:p>
        </w:tc>
        <w:tc>
          <w:tcPr>
            <w:tcW w:type="dxa" w:w="4752"/>
            <w:vAlign w:val="center"/>
          </w:tcPr>
          <w:p>
            <w:pPr>
              <w:spacing w:after="0"/>
            </w:pPr>
            <w:r/>
            <w:r>
              <w:rPr>
                <w:b w:val="0"/>
                <w:sz w:val="17"/>
              </w:rPr>
              <w:t>A permissible directed path exists</w:t>
            </w:r>
          </w:p>
        </w:tc>
      </w:tr>
      <w:tr>
        <w:tc>
          <w:tcPr>
            <w:tcW w:type="dxa" w:w="3168"/>
            <w:vAlign w:val="center"/>
          </w:tcPr>
          <w:p>
            <w:pPr>
              <w:spacing w:after="0"/>
            </w:pPr>
            <w:r/>
            <w:r>
              <w:rPr>
                <w:b w:val="0"/>
                <w:sz w:val="17"/>
              </w:rPr>
              <w:t>Reachable(0,4)=0</w:t>
            </w:r>
          </w:p>
        </w:tc>
        <w:tc>
          <w:tcPr>
            <w:tcW w:type="dxa" w:w="2304"/>
            <w:vAlign w:val="center"/>
          </w:tcPr>
          <w:p>
            <w:pPr>
              <w:spacing w:after="0"/>
            </w:pPr>
            <w:r/>
            <w:r>
              <w:rPr>
                <w:b w:val="0"/>
                <w:sz w:val="17"/>
              </w:rPr>
              <w:t>153,600</w:t>
            </w:r>
          </w:p>
        </w:tc>
        <w:tc>
          <w:tcPr>
            <w:tcW w:type="dxa" w:w="4752"/>
            <w:vAlign w:val="center"/>
          </w:tcPr>
          <w:p>
            <w:pPr>
              <w:spacing w:after="0"/>
            </w:pPr>
            <w:r/>
            <w:r>
              <w:rPr>
                <w:b w:val="0"/>
                <w:sz w:val="17"/>
              </w:rPr>
              <w:t>No directed path exists</w:t>
            </w:r>
          </w:p>
        </w:tc>
      </w:tr>
      <w:tr>
        <w:tc>
          <w:tcPr>
            <w:tcW w:type="dxa" w:w="3168"/>
            <w:vAlign w:val="center"/>
          </w:tcPr>
          <w:p>
            <w:pPr>
              <w:spacing w:after="0"/>
            </w:pPr>
            <w:r/>
            <w:r>
              <w:rPr>
                <w:b w:val="0"/>
                <w:sz w:val="17"/>
              </w:rPr>
              <w:t>Endpoint score</w:t>
            </w:r>
          </w:p>
        </w:tc>
        <w:tc>
          <w:tcPr>
            <w:tcW w:type="dxa" w:w="2304"/>
            <w:vAlign w:val="center"/>
          </w:tcPr>
          <w:p>
            <w:pPr>
              <w:spacing w:after="0"/>
            </w:pPr>
            <w:r/>
            <w:r>
              <w:rPr>
                <w:b w:val="0"/>
                <w:sz w:val="17"/>
              </w:rPr>
              <w:t>held fixed by construction</w:t>
            </w:r>
          </w:p>
        </w:tc>
        <w:tc>
          <w:tcPr>
            <w:tcW w:type="dxa" w:w="4752"/>
            <w:vAlign w:val="center"/>
          </w:tcPr>
          <w:p>
            <w:pPr>
              <w:spacing w:after="0"/>
            </w:pPr>
            <w:r/>
            <w:r>
              <w:rPr>
                <w:b w:val="0"/>
                <w:sz w:val="17"/>
              </w:rPr>
              <w:t>Not a topological variable</w:t>
            </w:r>
          </w:p>
        </w:tc>
      </w:tr>
    </w:tbl>
    <w:p>
      <w:pPr>
        <w:spacing w:after="120"/>
      </w:pPr>
      <w:r>
        <w:t>Formal conclusion — The suite is not needed to prove non-equivalence (one counterexample already suffices), but it validates the graph implementation across the complete five-node graph family. Both reachability states occur while endpoint-local score can remain identical. Therefore path existence is not a function of endpoint S alone.</w:t>
      </w:r>
    </w:p>
    <w:p>
      <w:pPr>
        <w:spacing w:after="120"/>
      </w:pPr>
      <w:r>
        <w:t>NON-CLAIM — 85.3515625% reachable and 14.6484375% unreachable are combinatorial frequencies of this synthetic graph family, not empirical prevalence estimates in physical, biological or social systems.</w:t>
      </w:r>
    </w:p>
    <w:p>
      <w:pPr>
        <w:spacing w:after="120"/>
      </w:pPr>
      <w:r>
        <w:t>Audit artefact — pass8_formal_graph_suite.json; SHA-512: 87d591d2aaaa7175325bdebb6c799c1ad2cb0e95f3bbc8e4c9767d8dde70b5633daecdd95cb3725888dfc16c46a3dc0621665cfb6778c43a97304fd04922ee6b</w:t>
      </w:r>
    </w:p>
    <w:p>
      <w:pPr>
        <w:pStyle w:val="Heading2"/>
      </w:pPr>
      <w:r>
        <w:t>52.2 Exhaustive non-compensation grid</w:t>
      </w:r>
    </w:p>
    <w:p>
      <w:pPr>
        <w:spacing w:after="120"/>
      </w:pPr>
      <w:r>
        <w:t>A second exact suite enumerates every three-frame score vector over {0.25, 0.50, 0.75, 1.00, 1.50, 2.00, 3.00}, with the synthetic threshold frozen at 1. The Z-MF audit projection accepts only when every frame is at or above threshold; the compensatory baseline accepts when the arithmetic mean is at or above threshold.</w:t>
      </w:r>
    </w:p>
    <w:tbl>
      <w:tblPr>
        <w:tblStyle w:val="TableGrid"/>
        <w:tblW w:type="auto" w:w="0"/>
        <w:jc w:val="center"/>
        <w:tblLook w:firstColumn="1" w:firstRow="1" w:lastColumn="0" w:lastRow="0" w:noHBand="0" w:noVBand="1" w:val="04A0"/>
      </w:tblPr>
      <w:tblGrid>
        <w:gridCol w:w="3298"/>
        <w:gridCol w:w="3298"/>
        <w:gridCol w:w="3298"/>
      </w:tblGrid>
      <w:tr>
        <w:trPr>
          <w:tblHeader w:val="true"/>
        </w:trPr>
        <w:tc>
          <w:tcPr>
            <w:tcW w:type="dxa" w:w="3888"/>
            <w:vAlign w:val="center"/>
            <w:shd w:fill="D9EAF7"/>
          </w:tcPr>
          <w:p>
            <w:pPr>
              <w:spacing w:after="0"/>
            </w:pPr>
            <w:r/>
            <w:r>
              <w:rPr>
                <w:b/>
                <w:sz w:val="16"/>
              </w:rPr>
              <w:t>Outcome relation</w:t>
            </w:r>
          </w:p>
        </w:tc>
        <w:tc>
          <w:tcPr>
            <w:tcW w:type="dxa" w:w="1440"/>
            <w:vAlign w:val="center"/>
            <w:shd w:fill="D9EAF7"/>
          </w:tcPr>
          <w:p>
            <w:pPr>
              <w:spacing w:after="0"/>
            </w:pPr>
            <w:r/>
            <w:r>
              <w:rPr>
                <w:b/>
                <w:sz w:val="16"/>
              </w:rPr>
              <w:t>Cases</w:t>
            </w:r>
          </w:p>
        </w:tc>
        <w:tc>
          <w:tcPr>
            <w:tcW w:type="dxa" w:w="5184"/>
            <w:vAlign w:val="center"/>
            <w:shd w:fill="D9EAF7"/>
          </w:tcPr>
          <w:p>
            <w:pPr>
              <w:spacing w:after="0"/>
            </w:pPr>
            <w:r/>
            <w:r>
              <w:rPr>
                <w:b/>
                <w:sz w:val="16"/>
              </w:rPr>
              <w:t>Meaning</w:t>
            </w:r>
          </w:p>
        </w:tc>
      </w:tr>
      <w:tr>
        <w:tc>
          <w:tcPr>
            <w:tcW w:type="dxa" w:w="3888"/>
            <w:vAlign w:val="center"/>
          </w:tcPr>
          <w:p>
            <w:pPr>
              <w:spacing w:after="0"/>
            </w:pPr>
            <w:r/>
            <w:r>
              <w:rPr>
                <w:b w:val="0"/>
                <w:sz w:val="16"/>
              </w:rPr>
              <w:t>Both ACCEPT</w:t>
            </w:r>
          </w:p>
        </w:tc>
        <w:tc>
          <w:tcPr>
            <w:tcW w:type="dxa" w:w="1440"/>
            <w:vAlign w:val="center"/>
          </w:tcPr>
          <w:p>
            <w:pPr>
              <w:spacing w:after="0"/>
            </w:pPr>
            <w:r/>
            <w:r>
              <w:rPr>
                <w:b w:val="0"/>
                <w:sz w:val="16"/>
              </w:rPr>
              <w:t>64</w:t>
            </w:r>
          </w:p>
        </w:tc>
        <w:tc>
          <w:tcPr>
            <w:tcW w:type="dxa" w:w="5184"/>
            <w:vAlign w:val="center"/>
          </w:tcPr>
          <w:p>
            <w:pPr>
              <w:spacing w:after="0"/>
            </w:pPr>
            <w:r/>
            <w:r>
              <w:rPr>
                <w:b w:val="0"/>
                <w:sz w:val="16"/>
              </w:rPr>
              <w:t>All three frames ≥1; mean also ≥1</w:t>
            </w:r>
          </w:p>
        </w:tc>
      </w:tr>
      <w:tr>
        <w:tc>
          <w:tcPr>
            <w:tcW w:type="dxa" w:w="3888"/>
            <w:vAlign w:val="center"/>
          </w:tcPr>
          <w:p>
            <w:pPr>
              <w:spacing w:after="0"/>
            </w:pPr>
            <w:r/>
            <w:r>
              <w:rPr>
                <w:b w:val="0"/>
                <w:sz w:val="16"/>
              </w:rPr>
              <w:t>Both REFUSE</w:t>
            </w:r>
          </w:p>
        </w:tc>
        <w:tc>
          <w:tcPr>
            <w:tcW w:type="dxa" w:w="1440"/>
            <w:vAlign w:val="center"/>
          </w:tcPr>
          <w:p>
            <w:pPr>
              <w:spacing w:after="0"/>
            </w:pPr>
            <w:r/>
            <w:r>
              <w:rPr>
                <w:b w:val="0"/>
                <w:sz w:val="16"/>
              </w:rPr>
              <w:t>102</w:t>
            </w:r>
          </w:p>
        </w:tc>
        <w:tc>
          <w:tcPr>
            <w:tcW w:type="dxa" w:w="5184"/>
            <w:vAlign w:val="center"/>
          </w:tcPr>
          <w:p>
            <w:pPr>
              <w:spacing w:after="0"/>
            </w:pPr>
            <w:r/>
            <w:r>
              <w:rPr>
                <w:b w:val="0"/>
                <w:sz w:val="16"/>
              </w:rPr>
              <w:t>Mean &lt;1 and at least one frame &lt;1</w:t>
            </w:r>
          </w:p>
        </w:tc>
      </w:tr>
      <w:tr>
        <w:tc>
          <w:tcPr>
            <w:tcW w:type="dxa" w:w="3888"/>
            <w:vAlign w:val="center"/>
          </w:tcPr>
          <w:p>
            <w:pPr>
              <w:spacing w:after="0"/>
            </w:pPr>
            <w:r/>
            <w:r>
              <w:rPr>
                <w:b w:val="0"/>
                <w:sz w:val="16"/>
              </w:rPr>
              <w:t>Mean ACCEPT / Z-MF REFUSE</w:t>
            </w:r>
          </w:p>
        </w:tc>
        <w:tc>
          <w:tcPr>
            <w:tcW w:type="dxa" w:w="1440"/>
            <w:vAlign w:val="center"/>
          </w:tcPr>
          <w:p>
            <w:pPr>
              <w:spacing w:after="0"/>
            </w:pPr>
            <w:r/>
            <w:r>
              <w:rPr>
                <w:b w:val="0"/>
                <w:sz w:val="16"/>
              </w:rPr>
              <w:t>177</w:t>
            </w:r>
          </w:p>
        </w:tc>
        <w:tc>
          <w:tcPr>
            <w:tcW w:type="dxa" w:w="5184"/>
            <w:vAlign w:val="center"/>
          </w:tcPr>
          <w:p>
            <w:pPr>
              <w:spacing w:after="0"/>
            </w:pPr>
            <w:r/>
            <w:r>
              <w:rPr>
                <w:b w:val="0"/>
                <w:sz w:val="16"/>
              </w:rPr>
              <w:t>Compensation rescues at least one sub-threshold frame</w:t>
            </w:r>
          </w:p>
        </w:tc>
      </w:tr>
      <w:tr>
        <w:tc>
          <w:tcPr>
            <w:tcW w:type="dxa" w:w="3888"/>
            <w:vAlign w:val="center"/>
          </w:tcPr>
          <w:p>
            <w:pPr>
              <w:spacing w:after="0"/>
            </w:pPr>
            <w:r/>
            <w:r>
              <w:rPr>
                <w:b w:val="0"/>
                <w:sz w:val="16"/>
              </w:rPr>
              <w:t>Z-MF ACCEPT / Mean REFUSE</w:t>
            </w:r>
          </w:p>
        </w:tc>
        <w:tc>
          <w:tcPr>
            <w:tcW w:type="dxa" w:w="1440"/>
            <w:vAlign w:val="center"/>
          </w:tcPr>
          <w:p>
            <w:pPr>
              <w:spacing w:after="0"/>
            </w:pPr>
            <w:r/>
            <w:r>
              <w:rPr>
                <w:b w:val="0"/>
                <w:sz w:val="16"/>
              </w:rPr>
              <w:t>0</w:t>
            </w:r>
          </w:p>
        </w:tc>
        <w:tc>
          <w:tcPr>
            <w:tcW w:type="dxa" w:w="5184"/>
            <w:vAlign w:val="center"/>
          </w:tcPr>
          <w:p>
            <w:pPr>
              <w:spacing w:after="0"/>
            </w:pPr>
            <w:r/>
            <w:r>
              <w:rPr>
                <w:b w:val="0"/>
                <w:sz w:val="16"/>
              </w:rPr>
              <w:t>Impossible under these rules: if every frame ≥1, mean ≥1</w:t>
            </w:r>
          </w:p>
        </w:tc>
      </w:tr>
      <w:tr>
        <w:tc>
          <w:tcPr>
            <w:tcW w:type="dxa" w:w="3888"/>
            <w:vAlign w:val="center"/>
          </w:tcPr>
          <w:p>
            <w:pPr>
              <w:spacing w:after="0"/>
            </w:pPr>
            <w:r/>
            <w:r>
              <w:rPr>
                <w:b w:val="0"/>
                <w:sz w:val="16"/>
              </w:rPr>
              <w:t>Total</w:t>
            </w:r>
          </w:p>
        </w:tc>
        <w:tc>
          <w:tcPr>
            <w:tcW w:type="dxa" w:w="1440"/>
            <w:vAlign w:val="center"/>
          </w:tcPr>
          <w:p>
            <w:pPr>
              <w:spacing w:after="0"/>
            </w:pPr>
            <w:r/>
            <w:r>
              <w:rPr>
                <w:b w:val="0"/>
                <w:sz w:val="16"/>
              </w:rPr>
              <w:t>343</w:t>
            </w:r>
          </w:p>
        </w:tc>
        <w:tc>
          <w:tcPr>
            <w:tcW w:type="dxa" w:w="5184"/>
            <w:vAlign w:val="center"/>
          </w:tcPr>
          <w:p>
            <w:pPr>
              <w:spacing w:after="0"/>
            </w:pPr>
            <w:r/>
            <w:r>
              <w:rPr>
                <w:b w:val="0"/>
                <w:sz w:val="16"/>
              </w:rPr>
              <w:t>7^3 exhaustive score combinations</w:t>
            </w:r>
          </w:p>
        </w:tc>
      </w:tr>
    </w:tbl>
    <w:p>
      <w:pPr>
        <w:spacing w:after="120"/>
      </w:pPr>
      <w:r>
        <w:t>Formal conclusion — Under the frozen synthetic rule, non-compensation is a strict refinement of the mean-threshold baseline: every Z-MF acceptance is also a mean acceptance, but 177 compensatory acceptances are vetoed by Z-MF. This establishes a rule-level difference, not empirical superiority.</w:t>
      </w:r>
    </w:p>
    <w:p>
      <w:pPr>
        <w:sectPr>
          <w:headerReference w:type="default" r:id="rId17"/>
          <w:pgSz w:w="11909" w:h="16834"/>
          <w:pgMar w:top="936" w:right="1008" w:bottom="936" w:left="1008" w:header="720" w:footer="720" w:gutter="0"/>
          <w:cols w:space="720"/>
          <w:docGrid w:linePitch="360"/>
        </w:sectPr>
      </w:pPr>
    </w:p>
    <w:p>
      <w:pPr>
        <w:pStyle w:val="Heading1"/>
      </w:pPr>
      <w:r>
        <w:t>53. Fixed-assembly ablation — one component removed at a time</w:t>
      </w:r>
    </w:p>
    <w:p>
      <w:pPr>
        <w:spacing w:after="120"/>
      </w:pPr>
      <w:r>
        <w:t>The conjunction is frozen exactly as in Passes 5–7: declared frames/proxies + S-gauge/non-compensation + temporal trajectory/debt + ProofChain traceability + multi-AI adversarial testing + refusal/silence. Ablation asks only whether removing one component changes the defined scientific/operational object. It does not ask whether the component improves real-world outcomes.</w:t>
      </w:r>
    </w:p>
    <w:tbl>
      <w:tblPr>
        <w:tblStyle w:val="TableGrid"/>
        <w:tblW w:type="auto" w:w="0"/>
        <w:jc w:val="center"/>
        <w:tblLook w:firstColumn="1" w:firstRow="1" w:lastColumn="0" w:lastRow="0" w:noHBand="0" w:noVBand="1" w:val="04A0"/>
      </w:tblPr>
      <w:tblGrid>
        <w:gridCol w:w="3050"/>
        <w:gridCol w:w="3050"/>
        <w:gridCol w:w="3050"/>
        <w:gridCol w:w="3050"/>
        <w:gridCol w:w="3050"/>
      </w:tblGrid>
      <w:tr>
        <w:trPr>
          <w:tblHeader w:val="true"/>
        </w:trPr>
        <w:tc>
          <w:tcPr>
            <w:tcW w:type="dxa" w:w="2376"/>
            <w:vAlign w:val="center"/>
            <w:shd w:fill="D9EAF7"/>
          </w:tcPr>
          <w:p>
            <w:pPr>
              <w:spacing w:after="0"/>
            </w:pPr>
            <w:r/>
            <w:r>
              <w:rPr>
                <w:b/>
                <w:sz w:val="15"/>
              </w:rPr>
              <w:t>Removed component</w:t>
            </w:r>
          </w:p>
        </w:tc>
        <w:tc>
          <w:tcPr>
            <w:tcW w:type="dxa" w:w="3384"/>
            <w:vAlign w:val="center"/>
            <w:shd w:fill="D9EAF7"/>
          </w:tcPr>
          <w:p>
            <w:pPr>
              <w:spacing w:after="0"/>
            </w:pPr>
            <w:r/>
            <w:r>
              <w:rPr>
                <w:b/>
                <w:sz w:val="15"/>
              </w:rPr>
              <w:t>Witness case</w:t>
            </w:r>
          </w:p>
        </w:tc>
        <w:tc>
          <w:tcPr>
            <w:tcW w:type="dxa" w:w="3528"/>
            <w:vAlign w:val="center"/>
            <w:shd w:fill="D9EAF7"/>
          </w:tcPr>
          <w:p>
            <w:pPr>
              <w:spacing w:after="0"/>
            </w:pPr>
            <w:r/>
            <w:r>
              <w:rPr>
                <w:b/>
                <w:sz w:val="15"/>
              </w:rPr>
              <w:t>Full assembly retains</w:t>
            </w:r>
          </w:p>
        </w:tc>
        <w:tc>
          <w:tcPr>
            <w:tcW w:type="dxa" w:w="3672"/>
            <w:vAlign w:val="center"/>
            <w:shd w:fill="D9EAF7"/>
          </w:tcPr>
          <w:p>
            <w:pPr>
              <w:spacing w:after="0"/>
            </w:pPr>
            <w:r/>
            <w:r>
              <w:rPr>
                <w:b/>
                <w:sz w:val="15"/>
              </w:rPr>
              <w:t>Ablated object loses/changes</w:t>
            </w:r>
          </w:p>
        </w:tc>
        <w:tc>
          <w:tcPr>
            <w:tcW w:type="dxa" w:w="1656"/>
            <w:vAlign w:val="center"/>
            <w:shd w:fill="D9EAF7"/>
          </w:tcPr>
          <w:p>
            <w:pPr>
              <w:spacing w:after="0"/>
            </w:pPr>
            <w:r/>
            <w:r>
              <w:rPr>
                <w:b/>
                <w:sz w:val="15"/>
              </w:rPr>
              <w:t>Verdict</w:t>
            </w:r>
          </w:p>
        </w:tc>
      </w:tr>
      <w:tr>
        <w:tc>
          <w:tcPr>
            <w:tcW w:type="dxa" w:w="2376"/>
            <w:vAlign w:val="center"/>
          </w:tcPr>
          <w:p>
            <w:pPr>
              <w:spacing w:after="0"/>
            </w:pPr>
            <w:r/>
            <w:r>
              <w:rPr>
                <w:b w:val="0"/>
                <w:sz w:val="15"/>
              </w:rPr>
              <w:t>Declared frames/proxies</w:t>
            </w:r>
          </w:p>
        </w:tc>
        <w:tc>
          <w:tcPr>
            <w:tcW w:type="dxa" w:w="3384"/>
            <w:vAlign w:val="center"/>
          </w:tcPr>
          <w:p>
            <w:pPr>
              <w:spacing w:after="0"/>
            </w:pPr>
            <w:r/>
            <w:r>
              <w:rPr>
                <w:b w:val="0"/>
                <w:sz w:val="15"/>
              </w:rPr>
              <w:t>Frame A=0.5, Frame B=2.5, mean=1.5</w:t>
            </w:r>
          </w:p>
        </w:tc>
        <w:tc>
          <w:tcPr>
            <w:tcW w:type="dxa" w:w="3528"/>
            <w:vAlign w:val="center"/>
          </w:tcPr>
          <w:p>
            <w:pPr>
              <w:spacing w:after="0"/>
            </w:pPr>
            <w:r/>
            <w:r>
              <w:rPr>
                <w:b w:val="0"/>
                <w:sz w:val="15"/>
              </w:rPr>
              <w:t>Identity of failing frame and frame-specific evidence</w:t>
            </w:r>
          </w:p>
        </w:tc>
        <w:tc>
          <w:tcPr>
            <w:tcW w:type="dxa" w:w="3672"/>
            <w:vAlign w:val="center"/>
          </w:tcPr>
          <w:p>
            <w:pPr>
              <w:spacing w:after="0"/>
            </w:pPr>
            <w:r/>
            <w:r>
              <w:rPr>
                <w:b w:val="0"/>
                <w:sz w:val="15"/>
              </w:rPr>
              <w:t>Only aggregate scalar; failing-frame identity lost</w:t>
            </w:r>
          </w:p>
        </w:tc>
        <w:tc>
          <w:tcPr>
            <w:tcW w:type="dxa" w:w="1656"/>
            <w:vAlign w:val="center"/>
          </w:tcPr>
          <w:p>
            <w:pPr>
              <w:spacing w:after="0"/>
            </w:pPr>
            <w:r/>
            <w:r>
              <w:rPr>
                <w:b w:val="0"/>
                <w:sz w:val="15"/>
              </w:rPr>
              <w:t>NON-REDUNDANT</w:t>
            </w:r>
          </w:p>
        </w:tc>
      </w:tr>
      <w:tr>
        <w:tc>
          <w:tcPr>
            <w:tcW w:type="dxa" w:w="2376"/>
            <w:vAlign w:val="center"/>
          </w:tcPr>
          <w:p>
            <w:pPr>
              <w:spacing w:after="0"/>
            </w:pPr>
            <w:r/>
            <w:r>
              <w:rPr>
                <w:b w:val="0"/>
                <w:sz w:val="15"/>
              </w:rPr>
              <w:t>Non-compensation/veto</w:t>
            </w:r>
          </w:p>
        </w:tc>
        <w:tc>
          <w:tcPr>
            <w:tcW w:type="dxa" w:w="3384"/>
            <w:vAlign w:val="center"/>
          </w:tcPr>
          <w:p>
            <w:pPr>
              <w:spacing w:after="0"/>
            </w:pPr>
            <w:r/>
            <w:r>
              <w:rPr>
                <w:b w:val="0"/>
                <w:sz w:val="15"/>
              </w:rPr>
              <w:t>Scores [0.5,2,2], threshold=1</w:t>
            </w:r>
          </w:p>
        </w:tc>
        <w:tc>
          <w:tcPr>
            <w:tcW w:type="dxa" w:w="3528"/>
            <w:vAlign w:val="center"/>
          </w:tcPr>
          <w:p>
            <w:pPr>
              <w:spacing w:after="0"/>
            </w:pPr>
            <w:r/>
            <w:r>
              <w:rPr>
                <w:b w:val="0"/>
                <w:sz w:val="15"/>
              </w:rPr>
              <w:t>REFUSE because a critical frame fails</w:t>
            </w:r>
          </w:p>
        </w:tc>
        <w:tc>
          <w:tcPr>
            <w:tcW w:type="dxa" w:w="3672"/>
            <w:vAlign w:val="center"/>
          </w:tcPr>
          <w:p>
            <w:pPr>
              <w:spacing w:after="0"/>
            </w:pPr>
            <w:r/>
            <w:r>
              <w:rPr>
                <w:b w:val="0"/>
                <w:sz w:val="15"/>
              </w:rPr>
              <w:t>Mean baseline ACCEPTS (mean=1.5)</w:t>
            </w:r>
          </w:p>
        </w:tc>
        <w:tc>
          <w:tcPr>
            <w:tcW w:type="dxa" w:w="1656"/>
            <w:vAlign w:val="center"/>
          </w:tcPr>
          <w:p>
            <w:pPr>
              <w:spacing w:after="0"/>
            </w:pPr>
            <w:r/>
            <w:r>
              <w:rPr>
                <w:b w:val="0"/>
                <w:sz w:val="15"/>
              </w:rPr>
              <w:t>NON-REDUNDANT</w:t>
            </w:r>
          </w:p>
        </w:tc>
      </w:tr>
      <w:tr>
        <w:tc>
          <w:tcPr>
            <w:tcW w:type="dxa" w:w="2376"/>
            <w:vAlign w:val="center"/>
          </w:tcPr>
          <w:p>
            <w:pPr>
              <w:spacing w:after="0"/>
            </w:pPr>
            <w:r/>
            <w:r>
              <w:rPr>
                <w:b w:val="0"/>
                <w:sz w:val="15"/>
              </w:rPr>
              <w:t>Temporal trajectory/debt</w:t>
            </w:r>
          </w:p>
        </w:tc>
        <w:tc>
          <w:tcPr>
            <w:tcW w:type="dxa" w:w="3384"/>
            <w:vAlign w:val="center"/>
          </w:tcPr>
          <w:p>
            <w:pPr>
              <w:spacing w:after="0"/>
            </w:pPr>
            <w:r/>
            <w:r>
              <w:rPr>
                <w:b w:val="0"/>
                <w:sz w:val="15"/>
              </w:rPr>
              <w:t>Same current scores; one future path drops to 0.4</w:t>
            </w:r>
          </w:p>
        </w:tc>
        <w:tc>
          <w:tcPr>
            <w:tcW w:type="dxa" w:w="3528"/>
            <w:vAlign w:val="center"/>
          </w:tcPr>
          <w:p>
            <w:pPr>
              <w:spacing w:after="0"/>
            </w:pPr>
            <w:r/>
            <w:r>
              <w:rPr>
                <w:b w:val="0"/>
                <w:sz w:val="15"/>
              </w:rPr>
              <w:t>Stable vs future-regressing trajectory distinction</w:t>
            </w:r>
          </w:p>
        </w:tc>
        <w:tc>
          <w:tcPr>
            <w:tcW w:type="dxa" w:w="3672"/>
            <w:vAlign w:val="center"/>
          </w:tcPr>
          <w:p>
            <w:pPr>
              <w:spacing w:after="0"/>
            </w:pPr>
            <w:r/>
            <w:r>
              <w:rPr>
                <w:b w:val="0"/>
                <w:sz w:val="15"/>
              </w:rPr>
              <w:t>Current-state verdicts become identical</w:t>
            </w:r>
          </w:p>
        </w:tc>
        <w:tc>
          <w:tcPr>
            <w:tcW w:type="dxa" w:w="1656"/>
            <w:vAlign w:val="center"/>
          </w:tcPr>
          <w:p>
            <w:pPr>
              <w:spacing w:after="0"/>
            </w:pPr>
            <w:r/>
            <w:r>
              <w:rPr>
                <w:b w:val="0"/>
                <w:sz w:val="15"/>
              </w:rPr>
              <w:t>NON-REDUNDANT</w:t>
            </w:r>
          </w:p>
        </w:tc>
      </w:tr>
      <w:tr>
        <w:tc>
          <w:tcPr>
            <w:tcW w:type="dxa" w:w="2376"/>
            <w:vAlign w:val="center"/>
          </w:tcPr>
          <w:p>
            <w:pPr>
              <w:spacing w:after="0"/>
            </w:pPr>
            <w:r/>
            <w:r>
              <w:rPr>
                <w:b w:val="0"/>
                <w:sz w:val="15"/>
              </w:rPr>
              <w:t>ProofChain traceability</w:t>
            </w:r>
          </w:p>
        </w:tc>
        <w:tc>
          <w:tcPr>
            <w:tcW w:type="dxa" w:w="3384"/>
            <w:vAlign w:val="center"/>
          </w:tcPr>
          <w:p>
            <w:pPr>
              <w:spacing w:after="0"/>
            </w:pPr>
            <w:r/>
            <w:r>
              <w:rPr>
                <w:b w:val="0"/>
                <w:sz w:val="15"/>
              </w:rPr>
              <w:t>Same content; valid trace vs missing/broken trace</w:t>
            </w:r>
          </w:p>
        </w:tc>
        <w:tc>
          <w:tcPr>
            <w:tcW w:type="dxa" w:w="3528"/>
            <w:vAlign w:val="center"/>
          </w:tcPr>
          <w:p>
            <w:pPr>
              <w:spacing w:after="0"/>
            </w:pPr>
            <w:r/>
            <w:r>
              <w:rPr>
                <w:b w:val="0"/>
                <w:sz w:val="15"/>
              </w:rPr>
              <w:t>Certified vs uncertified provenance state</w:t>
            </w:r>
          </w:p>
        </w:tc>
        <w:tc>
          <w:tcPr>
            <w:tcW w:type="dxa" w:w="3672"/>
            <w:vAlign w:val="center"/>
          </w:tcPr>
          <w:p>
            <w:pPr>
              <w:spacing w:after="0"/>
            </w:pPr>
            <w:r/>
            <w:r>
              <w:rPr>
                <w:b w:val="0"/>
                <w:sz w:val="15"/>
              </w:rPr>
              <w:t>Content verdict cannot distinguish provenance</w:t>
            </w:r>
          </w:p>
        </w:tc>
        <w:tc>
          <w:tcPr>
            <w:tcW w:type="dxa" w:w="1656"/>
            <w:vAlign w:val="center"/>
          </w:tcPr>
          <w:p>
            <w:pPr>
              <w:spacing w:after="0"/>
            </w:pPr>
            <w:r/>
            <w:r>
              <w:rPr>
                <w:b w:val="0"/>
                <w:sz w:val="15"/>
              </w:rPr>
              <w:t>NON-REDUNDANT</w:t>
            </w:r>
          </w:p>
        </w:tc>
      </w:tr>
      <w:tr>
        <w:tc>
          <w:tcPr>
            <w:tcW w:type="dxa" w:w="2376"/>
            <w:vAlign w:val="center"/>
          </w:tcPr>
          <w:p>
            <w:pPr>
              <w:spacing w:after="0"/>
            </w:pPr>
            <w:r/>
            <w:r>
              <w:rPr>
                <w:b w:val="0"/>
                <w:sz w:val="15"/>
              </w:rPr>
              <w:t>Multi-AI adversarial layer</w:t>
            </w:r>
          </w:p>
        </w:tc>
        <w:tc>
          <w:tcPr>
            <w:tcW w:type="dxa" w:w="3384"/>
            <w:vAlign w:val="center"/>
          </w:tcPr>
          <w:p>
            <w:pPr>
              <w:spacing w:after="0"/>
            </w:pPr>
            <w:r/>
            <w:r>
              <w:rPr>
                <w:b w:val="0"/>
                <w:sz w:val="15"/>
              </w:rPr>
              <w:t>Primary model PASS; independent adversarial model FAIL</w:t>
            </w:r>
          </w:p>
        </w:tc>
        <w:tc>
          <w:tcPr>
            <w:tcW w:type="dxa" w:w="3528"/>
            <w:vAlign w:val="center"/>
          </w:tcPr>
          <w:p>
            <w:pPr>
              <w:spacing w:after="0"/>
            </w:pPr>
            <w:r/>
            <w:r>
              <w:rPr>
                <w:b w:val="0"/>
                <w:sz w:val="15"/>
              </w:rPr>
              <w:t>Cross-model disagreement / robustness evidence</w:t>
            </w:r>
          </w:p>
        </w:tc>
        <w:tc>
          <w:tcPr>
            <w:tcW w:type="dxa" w:w="3672"/>
            <w:vAlign w:val="center"/>
          </w:tcPr>
          <w:p>
            <w:pPr>
              <w:spacing w:after="0"/>
            </w:pPr>
            <w:r/>
            <w:r>
              <w:rPr>
                <w:b w:val="0"/>
                <w:sz w:val="15"/>
              </w:rPr>
              <w:t>Primary-model result only</w:t>
            </w:r>
          </w:p>
        </w:tc>
        <w:tc>
          <w:tcPr>
            <w:tcW w:type="dxa" w:w="1656"/>
            <w:vAlign w:val="center"/>
          </w:tcPr>
          <w:p>
            <w:pPr>
              <w:spacing w:after="0"/>
            </w:pPr>
            <w:r/>
            <w:r>
              <w:rPr>
                <w:b w:val="0"/>
                <w:sz w:val="15"/>
              </w:rPr>
              <w:t>NON-REDUNDANT</w:t>
            </w:r>
          </w:p>
        </w:tc>
      </w:tr>
      <w:tr>
        <w:tc>
          <w:tcPr>
            <w:tcW w:type="dxa" w:w="2376"/>
            <w:vAlign w:val="center"/>
          </w:tcPr>
          <w:p>
            <w:pPr>
              <w:spacing w:after="0"/>
            </w:pPr>
            <w:r/>
            <w:r>
              <w:rPr>
                <w:b w:val="0"/>
                <w:sz w:val="15"/>
              </w:rPr>
              <w:t>Refusal/silence/NON_MESURÉ</w:t>
            </w:r>
          </w:p>
        </w:tc>
        <w:tc>
          <w:tcPr>
            <w:tcW w:type="dxa" w:w="3384"/>
            <w:vAlign w:val="center"/>
          </w:tcPr>
          <w:p>
            <w:pPr>
              <w:spacing w:after="0"/>
            </w:pPr>
            <w:r/>
            <w:r>
              <w:rPr>
                <w:b w:val="0"/>
                <w:sz w:val="15"/>
              </w:rPr>
              <w:t>Required operand missing</w:t>
            </w:r>
          </w:p>
        </w:tc>
        <w:tc>
          <w:tcPr>
            <w:tcW w:type="dxa" w:w="3528"/>
            <w:vAlign w:val="center"/>
          </w:tcPr>
          <w:p>
            <w:pPr>
              <w:spacing w:after="0"/>
            </w:pPr>
            <w:r/>
            <w:r>
              <w:rPr>
                <w:b w:val="0"/>
                <w:sz w:val="15"/>
              </w:rPr>
              <w:t>Explicit NON_MESURÉ/SILENCE output</w:t>
            </w:r>
          </w:p>
        </w:tc>
        <w:tc>
          <w:tcPr>
            <w:tcW w:type="dxa" w:w="3672"/>
            <w:vAlign w:val="center"/>
          </w:tcPr>
          <w:p>
            <w:pPr>
              <w:spacing w:after="0"/>
            </w:pPr>
            <w:r/>
            <w:r>
              <w:rPr>
                <w:b w:val="0"/>
                <w:sz w:val="15"/>
              </w:rPr>
              <w:t>Must impute or force binary verdict</w:t>
            </w:r>
          </w:p>
        </w:tc>
        <w:tc>
          <w:tcPr>
            <w:tcW w:type="dxa" w:w="1656"/>
            <w:vAlign w:val="center"/>
          </w:tcPr>
          <w:p>
            <w:pPr>
              <w:spacing w:after="0"/>
            </w:pPr>
            <w:r/>
            <w:r>
              <w:rPr>
                <w:b w:val="0"/>
                <w:sz w:val="15"/>
              </w:rPr>
              <w:t>NON-REDUNDANT</w:t>
            </w:r>
          </w:p>
        </w:tc>
      </w:tr>
    </w:tbl>
    <w:p>
      <w:pPr>
        <w:spacing w:after="120"/>
      </w:pPr>
      <w:r>
        <w:t>Ablation conclusion — All six components are functionally non-redundant relative to the frozen operational definition because a witness exists where removing that component changes retained information, a verdict, certification state, robustness observation, or output space. This is an architecture identity result. It is not evidence that the six-part assembly is globally optimal or historically unique.</w:t>
      </w:r>
    </w:p>
    <w:p>
      <w:pPr>
        <w:spacing w:after="120"/>
      </w:pPr>
      <w:r>
        <w:t>Audit artefact — pass8_fixed_assembly_ablation.json; SHA-512: 2cef6cec23b7793a262178c010ef0c5d8ca42ada7259a4ea044c55c525e5439683604e4b106ed04b5f512998950b0cc40748fa28b61d812089902b9b0455684b</w:t>
      </w:r>
    </w:p>
    <w:p>
      <w:pPr>
        <w:sectPr>
          <w:headerReference w:type="default" r:id="rId18"/>
          <w:pgSz w:w="16834" w:h="11909" w:orient="landscape"/>
          <w:pgMar w:top="792" w:right="792" w:bottom="792" w:left="792" w:header="720" w:footer="720" w:gutter="0"/>
          <w:cols w:space="720"/>
          <w:docGrid w:linePitch="360"/>
        </w:sectPr>
      </w:pPr>
    </w:p>
    <w:p>
      <w:pPr>
        <w:pStyle w:val="Heading1"/>
      </w:pPr>
      <w:r>
        <w:t>54. DOI 18500363 π/μ implementation closure</w:t>
      </w:r>
    </w:p>
    <w:p>
      <w:pPr>
        <w:spacing w:after="120"/>
      </w:pPr>
      <w:r>
        <w:t>Pass 7 left a binary choice: recover a versioned executable natural-language π/μ evaluator or certify that the public implementation layer is absent from the connected corpus. Pass 8 closes that bounded search.</w:t>
      </w:r>
    </w:p>
    <w:p>
      <w:pPr>
        <w:spacing w:after="120"/>
      </w:pPr>
      <w:r>
        <w:t>Public directory certificate — The connected zoran-corpus folder 18500363 contains exactly README.md, axioms.md, metadata.json, tests.md and white_paper.md. No Python, JavaScript, notebook, binary package or other executable evaluator is present in that record folder. Code search for the π:𝒪→𝒮 projection and structural-ambiguity evaluator returns the specification documents, not an implementation.</w:t>
      </w:r>
    </w:p>
    <w:p>
      <w:pPr>
        <w:spacing w:after="120"/>
      </w:pPr>
      <w:r>
        <w:t>Status — PUBLIC NATURAL-LANGUAGE π/μ IMPLEMENTATION: NOT RECOVERED / NON_MESURÉ. This is a bounded absence certificate for the connected public record, not proof that no private or unpublished implementation exists.</w:t>
      </w:r>
    </w:p>
    <w:p>
      <w:pPr>
        <w:spacing w:after="120"/>
      </w:pPr>
      <w:r>
        <w:t>What is specified — The axioms define output-only evaluation, a projection π from outputs to abstract structures, inadmissible structure classes, monotonicity under extension, and prudence under ambiguity. What is not uniquely specified is the parser that maps unrestricted natural language into roles/relations/asymmetries, the numerical or logical construction of μ, and a frozen labelled held-out corpus. Therefore false-accept, false-refuse, paraphrase robustness and reset invariance cannot yet be measured non-circularly.</w:t>
      </w:r>
    </w:p>
    <w:p>
      <w:pPr>
        <w:spacing w:after="120"/>
      </w:pPr>
      <w:r>
        <w:t>Primary public source — Zoran corpus record 18500363, especially axioms.md and tests.md; directory audited 26 August 2026.</w:t>
      </w:r>
    </w:p>
    <w:p>
      <w:pPr>
        <w:pStyle w:val="Heading1"/>
      </w:pPr>
      <w:r>
        <w:t>55. Pass-8 dimensional closure certificates</w:t>
      </w:r>
    </w:p>
    <w:tbl>
      <w:tblPr>
        <w:tblStyle w:val="TableGrid"/>
        <w:tblW w:type="auto" w:w="0"/>
        <w:jc w:val="center"/>
        <w:tblLook w:firstColumn="1" w:firstRow="1" w:lastColumn="0" w:lastRow="0" w:noHBand="0" w:noVBand="1" w:val="04A0"/>
      </w:tblPr>
      <w:tblGrid>
        <w:gridCol w:w="3298"/>
        <w:gridCol w:w="3298"/>
        <w:gridCol w:w="3298"/>
      </w:tblGrid>
      <w:tr>
        <w:trPr>
          <w:tblHeader w:val="true"/>
        </w:trPr>
        <w:tc>
          <w:tcPr>
            <w:tcW w:type="dxa" w:w="3096"/>
            <w:vAlign w:val="center"/>
            <w:shd w:fill="D9EAF7"/>
          </w:tcPr>
          <w:p>
            <w:pPr>
              <w:spacing w:after="0"/>
            </w:pPr>
            <w:r/>
            <w:r>
              <w:rPr>
                <w:b/>
                <w:sz w:val="15"/>
              </w:rPr>
              <w:t>Formal object</w:t>
            </w:r>
          </w:p>
        </w:tc>
        <w:tc>
          <w:tcPr>
            <w:tcW w:type="dxa" w:w="2232"/>
            <w:vAlign w:val="center"/>
            <w:shd w:fill="D9EAF7"/>
          </w:tcPr>
          <w:p>
            <w:pPr>
              <w:spacing w:after="0"/>
            </w:pPr>
            <w:r/>
            <w:r>
              <w:rPr>
                <w:b/>
                <w:sz w:val="15"/>
              </w:rPr>
              <w:t>Unit status</w:t>
            </w:r>
          </w:p>
        </w:tc>
        <w:tc>
          <w:tcPr>
            <w:tcW w:type="dxa" w:w="5040"/>
            <w:vAlign w:val="center"/>
            <w:shd w:fill="D9EAF7"/>
          </w:tcPr>
          <w:p>
            <w:pPr>
              <w:spacing w:after="0"/>
            </w:pPr>
            <w:r/>
            <w:r>
              <w:rPr>
                <w:b/>
                <w:sz w:val="15"/>
              </w:rPr>
              <w:t>Pass-8 certificate</w:t>
            </w:r>
          </w:p>
        </w:tc>
      </w:tr>
      <w:tr>
        <w:tc>
          <w:tcPr>
            <w:tcW w:type="dxa" w:w="3096"/>
            <w:vAlign w:val="center"/>
          </w:tcPr>
          <w:p>
            <w:pPr>
              <w:spacing w:after="0"/>
            </w:pPr>
            <w:r/>
            <w:r>
              <w:rPr>
                <w:b w:val="0"/>
                <w:sz w:val="15"/>
              </w:rPr>
              <w:t>Cφ = D_KL(P||Q)</w:t>
            </w:r>
          </w:p>
        </w:tc>
        <w:tc>
          <w:tcPr>
            <w:tcW w:type="dxa" w:w="2232"/>
            <w:vAlign w:val="center"/>
          </w:tcPr>
          <w:p>
            <w:pPr>
              <w:spacing w:after="0"/>
            </w:pPr>
            <w:r/>
            <w:r>
              <w:rPr>
                <w:b w:val="0"/>
                <w:sz w:val="15"/>
              </w:rPr>
              <w:t>DIMENSIONLESS</w:t>
            </w:r>
          </w:p>
        </w:tc>
        <w:tc>
          <w:tcPr>
            <w:tcW w:type="dxa" w:w="5040"/>
            <w:vAlign w:val="center"/>
          </w:tcPr>
          <w:p>
            <w:pPr>
              <w:spacing w:after="0"/>
            </w:pPr>
            <w:r/>
            <w:r>
              <w:rPr>
                <w:b w:val="0"/>
                <w:sz w:val="15"/>
              </w:rPr>
              <w:t>Probability-ratio logarithm; value expressed in nats for natural log or bits for log2.</w:t>
            </w:r>
          </w:p>
        </w:tc>
      </w:tr>
      <w:tr>
        <w:tc>
          <w:tcPr>
            <w:tcW w:type="dxa" w:w="3096"/>
            <w:vAlign w:val="center"/>
          </w:tcPr>
          <w:p>
            <w:pPr>
              <w:spacing w:after="0"/>
            </w:pPr>
            <w:r/>
            <w:r>
              <w:rPr>
                <w:b w:val="0"/>
                <w:sz w:val="15"/>
              </w:rPr>
              <w:t>S = βΔΦ/(Tσ)</w:t>
            </w:r>
          </w:p>
        </w:tc>
        <w:tc>
          <w:tcPr>
            <w:tcW w:type="dxa" w:w="2232"/>
            <w:vAlign w:val="center"/>
          </w:tcPr>
          <w:p>
            <w:pPr>
              <w:spacing w:after="0"/>
            </w:pPr>
            <w:r/>
            <w:r>
              <w:rPr>
                <w:b w:val="0"/>
                <w:sz w:val="15"/>
              </w:rPr>
              <w:t>CONDITIONAL</w:t>
            </w:r>
          </w:p>
        </w:tc>
        <w:tc>
          <w:tcPr>
            <w:tcW w:type="dxa" w:w="5040"/>
            <w:vAlign w:val="center"/>
          </w:tcPr>
          <w:p>
            <w:pPr>
              <w:spacing w:after="0"/>
            </w:pPr>
            <w:r/>
            <w:r>
              <w:rPr>
                <w:b w:val="0"/>
                <w:sz w:val="15"/>
              </w:rPr>
              <w:t>Dimensionless only when operands are normalized proxies or units cancel by declared construction in each frame.</w:t>
            </w:r>
          </w:p>
        </w:tc>
      </w:tr>
      <w:tr>
        <w:tc>
          <w:tcPr>
            <w:tcW w:type="dxa" w:w="3096"/>
            <w:vAlign w:val="center"/>
          </w:tcPr>
          <w:p>
            <w:pPr>
              <w:spacing w:after="0"/>
            </w:pPr>
            <w:r/>
            <w:r>
              <w:rPr>
                <w:b w:val="0"/>
                <w:sz w:val="15"/>
              </w:rPr>
              <w:t>S = η Ḟ ΔΦ /(T σ̇_irr)</w:t>
            </w:r>
          </w:p>
        </w:tc>
        <w:tc>
          <w:tcPr>
            <w:tcW w:type="dxa" w:w="2232"/>
            <w:vAlign w:val="center"/>
          </w:tcPr>
          <w:p>
            <w:pPr>
              <w:spacing w:after="0"/>
            </w:pPr>
            <w:r/>
            <w:r>
              <w:rPr>
                <w:b w:val="0"/>
                <w:sz w:val="15"/>
              </w:rPr>
              <w:t>CONDITIONAL CLOSURE</w:t>
            </w:r>
          </w:p>
        </w:tc>
        <w:tc>
          <w:tcPr>
            <w:tcW w:type="dxa" w:w="5040"/>
            <w:vAlign w:val="center"/>
          </w:tcPr>
          <w:p>
            <w:pPr>
              <w:spacing w:after="0"/>
            </w:pPr>
            <w:r/>
            <w:r>
              <w:rPr>
                <w:b w:val="0"/>
                <w:sz w:val="15"/>
              </w:rPr>
              <w:t>If η and ΔΦ are dimensionless, Ḟ is power, T is thermodynamic temperature, and σ̇_irr is entropy-production rate, then Tσ̇_irr has power units and S is dimensionless. Exact source semantics for every symbol were not recovered from the authoritative 17682120 record, so this is a unit-conditional certificate, not semantic verification.</w:t>
            </w:r>
          </w:p>
        </w:tc>
      </w:tr>
      <w:tr>
        <w:tc>
          <w:tcPr>
            <w:tcW w:type="dxa" w:w="3096"/>
            <w:vAlign w:val="center"/>
          </w:tcPr>
          <w:p>
            <w:pPr>
              <w:spacing w:after="0"/>
            </w:pPr>
            <w:r/>
            <w:r>
              <w:rPr>
                <w:b w:val="0"/>
                <w:sz w:val="15"/>
              </w:rPr>
              <w:t>Hensgen E=f(A(S,F), λ, V)</w:t>
            </w:r>
          </w:p>
        </w:tc>
        <w:tc>
          <w:tcPr>
            <w:tcW w:type="dxa" w:w="2232"/>
            <w:vAlign w:val="center"/>
          </w:tcPr>
          <w:p>
            <w:pPr>
              <w:spacing w:after="0"/>
            </w:pPr>
            <w:r/>
            <w:r>
              <w:rPr>
                <w:b w:val="0"/>
                <w:sz w:val="15"/>
              </w:rPr>
              <w:t>NON_MESURÉ</w:t>
            </w:r>
          </w:p>
        </w:tc>
        <w:tc>
          <w:tcPr>
            <w:tcW w:type="dxa" w:w="5040"/>
            <w:vAlign w:val="center"/>
          </w:tcPr>
          <w:p>
            <w:pPr>
              <w:spacing w:after="0"/>
            </w:pPr>
            <w:r/>
            <w:r>
              <w:rPr>
                <w:b w:val="0"/>
                <w:sz w:val="15"/>
              </w:rPr>
              <w:t>Public description does not supply a unit-preserving explicit f or prove A, λ and V share a common normalization.</w:t>
            </w:r>
          </w:p>
        </w:tc>
      </w:tr>
      <w:tr>
        <w:tc>
          <w:tcPr>
            <w:tcW w:type="dxa" w:w="3096"/>
            <w:vAlign w:val="center"/>
          </w:tcPr>
          <w:p>
            <w:pPr>
              <w:spacing w:after="0"/>
            </w:pPr>
            <w:r/>
            <w:r>
              <w:rPr>
                <w:b w:val="0"/>
                <w:sz w:val="15"/>
              </w:rPr>
              <w:t>Hensgen Δ72(t)=H(R,I,A)</w:t>
            </w:r>
          </w:p>
        </w:tc>
        <w:tc>
          <w:tcPr>
            <w:tcW w:type="dxa" w:w="2232"/>
            <w:vAlign w:val="center"/>
          </w:tcPr>
          <w:p>
            <w:pPr>
              <w:spacing w:after="0"/>
            </w:pPr>
            <w:r/>
            <w:r>
              <w:rPr>
                <w:b w:val="0"/>
                <w:sz w:val="15"/>
              </w:rPr>
              <w:t>NON_MESURÉ</w:t>
            </w:r>
          </w:p>
        </w:tc>
        <w:tc>
          <w:tcPr>
            <w:tcW w:type="dxa" w:w="5040"/>
            <w:vAlign w:val="center"/>
          </w:tcPr>
          <w:p>
            <w:pPr>
              <w:spacing w:after="0"/>
            </w:pPr>
            <w:r/>
            <w:r>
              <w:rPr>
                <w:b w:val="0"/>
                <w:sz w:val="15"/>
              </w:rPr>
              <w:t>H is an abstract harmonic integrator; codomain and unit mapping are not specified sufficiently for dimensional closure. κ≥κ* is unit-consistent if κ and κ* share units by definition.</w:t>
            </w:r>
          </w:p>
        </w:tc>
      </w:tr>
      <w:tr>
        <w:tc>
          <w:tcPr>
            <w:tcW w:type="dxa" w:w="3096"/>
            <w:vAlign w:val="center"/>
          </w:tcPr>
          <w:p>
            <w:pPr>
              <w:spacing w:after="0"/>
            </w:pPr>
            <w:r/>
            <w:r>
              <w:rPr>
                <w:b w:val="0"/>
                <w:sz w:val="15"/>
              </w:rPr>
              <w:t>Al-Mayahi C=I(S;E)/H(S)</w:t>
            </w:r>
          </w:p>
        </w:tc>
        <w:tc>
          <w:tcPr>
            <w:tcW w:type="dxa" w:w="2232"/>
            <w:vAlign w:val="center"/>
          </w:tcPr>
          <w:p>
            <w:pPr>
              <w:spacing w:after="0"/>
            </w:pPr>
            <w:r/>
            <w:r>
              <w:rPr>
                <w:b w:val="0"/>
                <w:sz w:val="15"/>
              </w:rPr>
              <w:t>DIMENSIONLESS</w:t>
            </w:r>
          </w:p>
        </w:tc>
        <w:tc>
          <w:tcPr>
            <w:tcW w:type="dxa" w:w="5040"/>
            <w:vAlign w:val="center"/>
          </w:tcPr>
          <w:p>
            <w:pPr>
              <w:spacing w:after="0"/>
            </w:pPr>
            <w:r/>
            <w:r>
              <w:rPr>
                <w:b w:val="0"/>
                <w:sz w:val="15"/>
              </w:rPr>
              <w:t>Mutual information and entropy use the same information unit; ratio is dimensionless when denominator non-zero.</w:t>
            </w:r>
          </w:p>
        </w:tc>
      </w:tr>
      <w:tr>
        <w:tc>
          <w:tcPr>
            <w:tcW w:type="dxa" w:w="3096"/>
            <w:vAlign w:val="center"/>
          </w:tcPr>
          <w:p>
            <w:pPr>
              <w:spacing w:after="0"/>
            </w:pPr>
            <w:r/>
            <w:r>
              <w:rPr>
                <w:b w:val="0"/>
                <w:sz w:val="15"/>
              </w:rPr>
              <w:t>Al-Mayahi dW/dt=γ(C−Ccrit)W</w:t>
            </w:r>
          </w:p>
        </w:tc>
        <w:tc>
          <w:tcPr>
            <w:tcW w:type="dxa" w:w="2232"/>
            <w:vAlign w:val="center"/>
          </w:tcPr>
          <w:p>
            <w:pPr>
              <w:spacing w:after="0"/>
            </w:pPr>
            <w:r/>
            <w:r>
              <w:rPr>
                <w:b w:val="0"/>
                <w:sz w:val="15"/>
              </w:rPr>
              <w:t>CLOSED IF γ=[time]^-1</w:t>
            </w:r>
          </w:p>
        </w:tc>
        <w:tc>
          <w:tcPr>
            <w:tcW w:type="dxa" w:w="5040"/>
            <w:vAlign w:val="center"/>
          </w:tcPr>
          <w:p>
            <w:pPr>
              <w:spacing w:after="0"/>
            </w:pPr>
            <w:r/>
            <w:r>
              <w:rPr>
                <w:b w:val="0"/>
                <w:sz w:val="15"/>
              </w:rPr>
              <w:t>C and Ccrit dimensionless; γ supplies inverse-time units.</w:t>
            </w:r>
          </w:p>
        </w:tc>
      </w:tr>
      <w:tr>
        <w:tc>
          <w:tcPr>
            <w:tcW w:type="dxa" w:w="3096"/>
            <w:vAlign w:val="center"/>
          </w:tcPr>
          <w:p>
            <w:pPr>
              <w:spacing w:after="0"/>
            </w:pPr>
            <w:r/>
            <w:r>
              <w:rPr>
                <w:b w:val="0"/>
                <w:sz w:val="15"/>
              </w:rPr>
              <w:t>Paton admissible/reachable predicates</w:t>
            </w:r>
          </w:p>
        </w:tc>
        <w:tc>
          <w:tcPr>
            <w:tcW w:type="dxa" w:w="2232"/>
            <w:vAlign w:val="center"/>
          </w:tcPr>
          <w:p>
            <w:pPr>
              <w:spacing w:after="0"/>
            </w:pPr>
            <w:r/>
            <w:r>
              <w:rPr>
                <w:b w:val="0"/>
                <w:sz w:val="15"/>
              </w:rPr>
              <w:t>BOOLEAN / DIMENSIONLESS</w:t>
            </w:r>
          </w:p>
        </w:tc>
        <w:tc>
          <w:tcPr>
            <w:tcW w:type="dxa" w:w="5040"/>
            <w:vAlign w:val="center"/>
          </w:tcPr>
          <w:p>
            <w:pPr>
              <w:spacing w:after="0"/>
            </w:pPr>
            <w:r/>
            <w:r>
              <w:rPr>
                <w:b w:val="0"/>
                <w:sz w:val="15"/>
              </w:rPr>
              <w:t>Logical predicates; no physical unit.</w:t>
            </w:r>
          </w:p>
        </w:tc>
      </w:tr>
      <w:tr>
        <w:tc>
          <w:tcPr>
            <w:tcW w:type="dxa" w:w="3096"/>
            <w:vAlign w:val="center"/>
          </w:tcPr>
          <w:p>
            <w:pPr>
              <w:spacing w:after="0"/>
            </w:pPr>
            <w:r/>
            <w:r>
              <w:rPr>
                <w:b w:val="0"/>
                <w:sz w:val="15"/>
              </w:rPr>
              <w:t>Martirosyan D=dℓ²/dt</w:t>
            </w:r>
          </w:p>
        </w:tc>
        <w:tc>
          <w:tcPr>
            <w:tcW w:type="dxa" w:w="2232"/>
            <w:vAlign w:val="center"/>
          </w:tcPr>
          <w:p>
            <w:pPr>
              <w:spacing w:after="0"/>
            </w:pPr>
            <w:r/>
            <w:r>
              <w:rPr>
                <w:b w:val="0"/>
                <w:sz w:val="15"/>
              </w:rPr>
              <w:t>DIMENSIONAL</w:t>
            </w:r>
          </w:p>
        </w:tc>
        <w:tc>
          <w:tcPr>
            <w:tcW w:type="dxa" w:w="5040"/>
            <w:vAlign w:val="center"/>
          </w:tcPr>
          <w:p>
            <w:pPr>
              <w:spacing w:after="0"/>
            </w:pPr>
            <w:r/>
            <w:r>
              <w:rPr>
                <w:b w:val="0"/>
                <w:sz w:val="15"/>
              </w:rPr>
              <w:t>Length²/time; must not be collapsed into a dimensionless admissibility gauge without a normalization map.</w:t>
            </w:r>
          </w:p>
        </w:tc>
      </w:tr>
    </w:tbl>
    <w:p>
      <w:pPr>
        <w:spacing w:after="120"/>
      </w:pPr>
      <w:r>
        <w:t>Hensgen source anchor — Zenodo DOI 10.5281/zenodo.17618496 defines a three-layer model and the public text gives Δ72(t)=H(R(t),I(t),A(t)) with a harmonic threshold κ(t)≥κ*. The earlier wearable validation DOI 10.5281/zenodo.17363100 maps alignment, phase coherence and adaptive variability to emergent coherence. The public sources do not expose enough unit definitions to certify a universal dimensional identity.</w:t>
      </w:r>
    </w:p>
    <w:p>
      <w:pPr>
        <w:pStyle w:val="Heading1"/>
      </w:pPr>
      <w:r>
        <w:t>56. Confirmatory empirical tracks — preregistration gate enforced</w:t>
      </w:r>
    </w:p>
    <w:p>
      <w:pPr>
        <w:spacing w:after="120"/>
      </w:pPr>
      <w:r>
        <w:t>Pass 7 named candidate public datasets including NASA C-MAPSS and PhysioNet biosignal data. Pass 8 does not run a pairwise Zoran-versus-comparator empirical contest because the preregistration did not freeze a domain-specific mapping from raw sensor variables to β, ΔΦ, T and σ for those datasets before their selection.</w:t>
      </w:r>
    </w:p>
    <w:p>
      <w:pPr>
        <w:spacing w:after="120"/>
      </w:pPr>
      <w:r>
        <w:t>Running the data now and inventing the Zoran proxies afterwards would violate the anti-cherry-picking rule created in Pass 7. The correct result is therefore NON_MESURÉ, not a retrospective fit.</w:t>
      </w:r>
    </w:p>
    <w:p>
      <w:pPr>
        <w:pStyle w:val="ListBullet"/>
      </w:pPr>
      <w:r>
        <w:t>FORMAL TRACK: executed — exhaustive graph and score-grid suites above.</w:t>
      </w:r>
    </w:p>
    <w:p>
      <w:pPr>
        <w:pStyle w:val="ListBullet"/>
      </w:pPr>
      <w:r>
        <w:t>EMPIRICAL TRACK: blocked — no pre-frozen cross-framework proxy map for the selected datasets.</w:t>
      </w:r>
    </w:p>
    <w:p>
      <w:pPr>
        <w:pStyle w:val="ListBullet"/>
      </w:pPr>
      <w:r>
        <w:t>PROMOTION CONDITION: publish and hash the proxy map, preprocessing, train/validation/test split and thresholds before opening the confirmatory labels/results.</w:t>
      </w:r>
    </w:p>
    <w:p>
      <w:pPr>
        <w:pStyle w:val="ListBullet"/>
      </w:pPr>
      <w:r>
        <w:t>ONLY THEN: execute pairwise metrics (balanced accuracy / false accept / false refuse / abstention rate / calibration where defined) on held-out data.</w:t>
      </w:r>
    </w:p>
    <w:p>
      <w:pPr>
        <w:pStyle w:val="Heading1"/>
      </w:pPr>
      <w:r>
        <w:t>57. Metadata and licence debt after authoritative checks</w:t>
      </w:r>
    </w:p>
    <w:tbl>
      <w:tblPr>
        <w:tblStyle w:val="TableGrid"/>
        <w:tblW w:type="auto" w:w="0"/>
        <w:jc w:val="center"/>
        <w:tblLook w:firstColumn="1" w:firstRow="1" w:lastColumn="0" w:lastRow="0" w:noHBand="0" w:noVBand="1" w:val="04A0"/>
      </w:tblPr>
      <w:tblGrid>
        <w:gridCol w:w="2473"/>
        <w:gridCol w:w="2473"/>
        <w:gridCol w:w="2473"/>
        <w:gridCol w:w="2473"/>
      </w:tblGrid>
      <w:tr>
        <w:trPr>
          <w:tblHeader w:val="true"/>
        </w:trPr>
        <w:tc>
          <w:tcPr>
            <w:tcW w:type="dxa" w:w="1440"/>
            <w:vAlign w:val="center"/>
            <w:shd w:fill="D9EAF7"/>
          </w:tcPr>
          <w:p>
            <w:pPr>
              <w:spacing w:after="0"/>
            </w:pPr>
            <w:r/>
            <w:r>
              <w:rPr>
                <w:b/>
                <w:sz w:val="15"/>
              </w:rPr>
              <w:t>Record</w:t>
            </w:r>
          </w:p>
        </w:tc>
        <w:tc>
          <w:tcPr>
            <w:tcW w:type="dxa" w:w="4968"/>
            <w:vAlign w:val="center"/>
            <w:shd w:fill="D9EAF7"/>
          </w:tcPr>
          <w:p>
            <w:pPr>
              <w:spacing w:after="0"/>
            </w:pPr>
            <w:r/>
            <w:r>
              <w:rPr>
                <w:b/>
                <w:sz w:val="15"/>
              </w:rPr>
              <w:t>Authoritative/public evidence</w:t>
            </w:r>
          </w:p>
        </w:tc>
        <w:tc>
          <w:tcPr>
            <w:tcW w:type="dxa" w:w="2448"/>
            <w:vAlign w:val="center"/>
            <w:shd w:fill="D9EAF7"/>
          </w:tcPr>
          <w:p>
            <w:pPr>
              <w:spacing w:after="0"/>
            </w:pPr>
            <w:r/>
            <w:r>
              <w:rPr>
                <w:b/>
                <w:sz w:val="15"/>
              </w:rPr>
              <w:t>Pass-8 status</w:t>
            </w:r>
          </w:p>
        </w:tc>
        <w:tc>
          <w:tcPr>
            <w:tcW w:type="dxa" w:w="2880"/>
            <w:vAlign w:val="center"/>
            <w:shd w:fill="D9EAF7"/>
          </w:tcPr>
          <w:p>
            <w:pPr>
              <w:spacing w:after="0"/>
            </w:pPr>
            <w:r/>
            <w:r>
              <w:rPr>
                <w:b/>
                <w:sz w:val="15"/>
              </w:rPr>
              <w:t>Required action</w:t>
            </w:r>
          </w:p>
        </w:tc>
      </w:tr>
      <w:tr>
        <w:tc>
          <w:tcPr>
            <w:tcW w:type="dxa" w:w="1440"/>
            <w:vAlign w:val="center"/>
          </w:tcPr>
          <w:p>
            <w:pPr>
              <w:spacing w:after="0"/>
            </w:pPr>
            <w:r/>
            <w:r>
              <w:rPr>
                <w:b w:val="0"/>
                <w:sz w:val="15"/>
              </w:rPr>
              <w:t>18499943</w:t>
            </w:r>
          </w:p>
        </w:tc>
        <w:tc>
          <w:tcPr>
            <w:tcW w:type="dxa" w:w="4968"/>
            <w:vAlign w:val="center"/>
          </w:tcPr>
          <w:p>
            <w:pPr>
              <w:spacing w:after="0"/>
            </w:pPr>
            <w:r/>
            <w:r>
              <w:rPr>
                <w:b w:val="0"/>
                <w:sz w:val="15"/>
              </w:rPr>
              <w:t>Zenodo record published 5 Feb 2026; Rights field displays CC BY 4.0. Embedded document text also states Creative-Ethic BY/BY-PRO.</w:t>
            </w:r>
          </w:p>
        </w:tc>
        <w:tc>
          <w:tcPr>
            <w:tcW w:type="dxa" w:w="2448"/>
            <w:vAlign w:val="center"/>
          </w:tcPr>
          <w:p>
            <w:pPr>
              <w:spacing w:after="0"/>
            </w:pPr>
            <w:r/>
            <w:r>
              <w:rPr>
                <w:b w:val="0"/>
                <w:sz w:val="15"/>
              </w:rPr>
              <w:t>METADATA IDENTIFIED; INTERNAL CONFLICT REMAINS</w:t>
            </w:r>
          </w:p>
        </w:tc>
        <w:tc>
          <w:tcPr>
            <w:tcW w:type="dxa" w:w="2880"/>
            <w:vAlign w:val="center"/>
          </w:tcPr>
          <w:p>
            <w:pPr>
              <w:spacing w:after="0"/>
            </w:pPr>
            <w:r/>
            <w:r>
              <w:rPr>
                <w:b w:val="0"/>
                <w:sz w:val="15"/>
              </w:rPr>
              <w:t>For final release, harmonize the embedded licence statement with the Zenodo Rights field or publish a corrected version explaining the intended licence. Do not silently quote both as equivalent.</w:t>
            </w:r>
          </w:p>
        </w:tc>
      </w:tr>
      <w:tr>
        <w:tc>
          <w:tcPr>
            <w:tcW w:type="dxa" w:w="1440"/>
            <w:vAlign w:val="center"/>
          </w:tcPr>
          <w:p>
            <w:pPr>
              <w:spacing w:after="0"/>
            </w:pPr>
            <w:r/>
            <w:r>
              <w:rPr>
                <w:b w:val="0"/>
                <w:sz w:val="15"/>
              </w:rPr>
              <w:t>18526755</w:t>
            </w:r>
          </w:p>
        </w:tc>
        <w:tc>
          <w:tcPr>
            <w:tcW w:type="dxa" w:w="4968"/>
            <w:vAlign w:val="center"/>
          </w:tcPr>
          <w:p>
            <w:pPr>
              <w:spacing w:after="0"/>
            </w:pPr>
            <w:r/>
            <w:r>
              <w:rPr>
                <w:b w:val="0"/>
                <w:sz w:val="15"/>
              </w:rPr>
              <w:t>GitHub/Atlas mirror titles the DOI “Tenseur d’Amari-Chentsov et saturation MCP”; multiple public posts cite the same DOI as “Loi de cohérence phénoménale — démonstration complète par applications”. Direct Zenodo page was rate-limited during this audit.</w:t>
            </w:r>
          </w:p>
        </w:tc>
        <w:tc>
          <w:tcPr>
            <w:tcW w:type="dxa" w:w="2448"/>
            <w:vAlign w:val="center"/>
          </w:tcPr>
          <w:p>
            <w:pPr>
              <w:spacing w:after="0"/>
            </w:pPr>
            <w:r/>
            <w:r>
              <w:rPr>
                <w:b w:val="0"/>
                <w:sz w:val="15"/>
              </w:rPr>
              <w:t>PUBLIC IDENTITY CONFLICT UNRESOLVED</w:t>
            </w:r>
          </w:p>
        </w:tc>
        <w:tc>
          <w:tcPr>
            <w:tcW w:type="dxa" w:w="2880"/>
            <w:vAlign w:val="center"/>
          </w:tcPr>
          <w:p>
            <w:pPr>
              <w:spacing w:after="0"/>
            </w:pPr>
            <w:r/>
            <w:r>
              <w:rPr>
                <w:b w:val="0"/>
                <w:sz w:val="15"/>
              </w:rPr>
              <w:t>Do not use 18526755 as a canonical Scholar anchor until Zenodo metadata is directly verified and the mirror/links are reconciled.</w:t>
            </w:r>
          </w:p>
        </w:tc>
      </w:tr>
    </w:tbl>
    <w:p>
      <w:pPr>
        <w:spacing w:after="120"/>
      </w:pPr>
      <w:r>
        <w:t>Zenodo guidance anchor — the record metadata contains title, publication date, creators and licence, and the Rights field controls discoverability/reuse metadata. Mixed or custom licences are supported but must be declared clearly. The final atlas therefore treats metadata consistency as a blocking publication gate rather than a cosmetic issue.</w:t>
      </w:r>
    </w:p>
    <w:p>
      <w:pPr>
        <w:pStyle w:val="Heading1"/>
      </w:pPr>
      <w:r>
        <w:t>58. Fixed-conjunction prior-art search — Pass-8 update</w:t>
      </w:r>
    </w:p>
    <w:p>
      <w:pPr>
        <w:spacing w:after="120"/>
      </w:pPr>
      <w:r>
        <w:t>The assembly definition is not changed after search: declared frames/proxies + non-compensation + temporal trajectory/debt + ProofChain traceability + multi-AI adversarial testing + refusal/silence. Additional searches found strong neighboring runtime-assurance families but no source certified here as a pre-November-2025 one-to-one implementation of that full conjunction.</w:t>
      </w:r>
    </w:p>
    <w:p>
      <w:pPr>
        <w:pStyle w:val="ListBullet"/>
      </w:pPr>
      <w:r>
        <w:t>Monitor-based runtime assurance for temporal-logic specifications (Abate, Feron &amp; Coogan, arXiv:1908.03284, 2019) supplies trajectory-aware safety monitoring and a backup controller.</w:t>
      </w:r>
    </w:p>
    <w:p>
      <w:pPr>
        <w:pStyle w:val="ListBullet"/>
      </w:pPr>
      <w:r>
        <w:t>Distributed Simplex Architecture (Mehmood et al., arXiv:2012.10153, 2020) extends runtime assurance to multi-agent systems.</w:t>
      </w:r>
    </w:p>
    <w:p>
      <w:pPr>
        <w:pStyle w:val="ListBullet"/>
      </w:pPr>
      <w:r>
        <w:t>Runtime Safety Enforcement frameworks formalize monitoring/adaptation of deployed systems (Journal of Systems and Software 198, 111605, 2023).</w:t>
      </w:r>
    </w:p>
    <w:p>
      <w:pPr>
        <w:spacing w:after="120"/>
      </w:pPr>
      <w:r>
        <w:t>Priority conclusion unchanged — These are material antecedents to individual assurance functions. No exact full conjunction is certified in this pass, but absence of an exact search hit remains insufficient to claim world priority for Zoran.</w:t>
      </w:r>
    </w:p>
    <w:p>
      <w:pPr>
        <w:pStyle w:val="Heading1"/>
      </w:pPr>
      <w:r>
        <w:t>59. Pass 8 conclusions</w:t>
      </w:r>
    </w:p>
    <w:p>
      <w:pPr>
        <w:pStyle w:val="ListBullet"/>
      </w:pPr>
      <w:r>
        <w:t>GRAPH SUITE EXECUTED EXHAUSTIVELY — 1,048,576 five-node directed graphs confirm at implementation scale that path reachability varies independently of an endpoint-local score.</w:t>
      </w:r>
    </w:p>
    <w:p>
      <w:pPr>
        <w:pStyle w:val="ListBullet"/>
      </w:pPr>
      <w:r>
        <w:t>NON-COMPENSATION DIFFERENCE EXHAUSTIVE ON THE FROZEN GRID — 177 of 343 score vectors are accepted by the compensatory mean baseline but refused by the all-frames gate; the reverse disagreement is impossible under the frozen rule.</w:t>
      </w:r>
    </w:p>
    <w:p>
      <w:pPr>
        <w:pStyle w:val="ListBullet"/>
      </w:pPr>
      <w:r>
        <w:t>ASSEMBLY ABLATION CLOSED AT THE OPERATIONAL LEVEL — each of the six fixed components has a witness showing non-redundancy. This establishes identity of the defined assembly, not real-world superiority or novelty.</w:t>
      </w:r>
    </w:p>
    <w:p>
      <w:pPr>
        <w:pStyle w:val="ListBullet"/>
      </w:pPr>
      <w:r>
        <w:t>π/μ PUBLIC IMPLEMENTATION NOT RECOVERED — DOI 18500363 specifies decision axioms and test prompts, but the connected public record contains no executable natural-language projection/ambiguity evaluator. Robustness metrics remain NON_MESURÉ.</w:t>
      </w:r>
    </w:p>
    <w:p>
      <w:pPr>
        <w:pStyle w:val="ListBullet"/>
      </w:pPr>
      <w:r>
        <w:t>EMPIRICAL PREREGISTRATION WAS ENFORCED — no post-hoc proxy mapping was invented for NASA/PhysioNet. Pairwise empirical performance remains unmeasured until a proxy map is frozen before opening outcomes.</w:t>
      </w:r>
    </w:p>
    <w:p>
      <w:pPr>
        <w:pStyle w:val="ListBullet"/>
      </w:pPr>
      <w:r>
        <w:t>DIMENSIONAL CLAIMS NARROWED — Cφ and Al-Mayahi information ratios are unit-clean; the Zoran thermodynamic form is conditionally dimensionless under an explicit thermodynamic interpretation; Hensgen’s abstract H/f mappings remain unit-underdetermined in the public text inspected.</w:t>
      </w:r>
    </w:p>
    <w:p>
      <w:pPr>
        <w:pStyle w:val="ListBullet"/>
      </w:pPr>
      <w:r>
        <w:t>18499943 RIGHTS METADATA IDENTIFIED BUT TEXT CONFLICT REMAINS — Zenodo says CC BY 4.0, while embedded prose states Creative-Ethic. 18526755 remains a public identity conflict and stays blocked from canonical Scholar use.</w:t>
      </w:r>
    </w:p>
    <w:p>
      <w:pPr>
        <w:pStyle w:val="ListBullet"/>
      </w:pPr>
      <w:r>
        <w:t>NO WORLD-FIRST PROMOTION — the exact Zoran conjunction remains an open historical claim, not a conclusion.</w:t>
      </w:r>
    </w:p>
    <w:p>
      <w:pPr>
        <w:pStyle w:val="Heading1"/>
      </w:pPr>
      <w:r>
        <w:t>60. Sources and audit artefacts added in Pass 8</w:t>
      </w:r>
    </w:p>
    <w:p>
      <w:pPr>
        <w:pStyle w:val="ListBullet"/>
      </w:pPr>
      <w:r>
        <w:t>Hensgen, A. (2025). Δ.72 Field Equation: A Unified Framework for Coherence Across Biological, Physical, and Cognitive Systems. Zenodo DOI 10.5281/zenodo.17618496; submitted 15 Nov 2025.</w:t>
      </w:r>
    </w:p>
    <w:p>
      <w:pPr>
        <w:pStyle w:val="ListBullet"/>
      </w:pPr>
      <w:r>
        <w:t>Hensgen, A. (2025). Δ.72 Wearable Exam Stress Validation Report: Field Equation Verification and Biological Coherence Analysis. Zenodo DOI 10.5281/zenodo.17363100; public release Oct 2025.</w:t>
      </w:r>
    </w:p>
    <w:p>
      <w:pPr>
        <w:pStyle w:val="ListBullet"/>
      </w:pPr>
      <w:r>
        <w:t>Tabary, F. (2026). IA scientifique : Formulation, test et implémentation d’une contrainte de cohérence applicable à la production scientifique assistée par IA. Zenodo DOI 10.5281/zenodo.18499943; Rights: CC BY 4.0 on record page inspected 26 Aug 2026.</w:t>
      </w:r>
    </w:p>
    <w:p>
      <w:pPr>
        <w:pStyle w:val="ListBullet"/>
      </w:pPr>
      <w:r>
        <w:t>Zoran public corpus record 18500363: README.md, axioms.md, metadata.json, tests.md, white_paper.md; directory and code-search surface inspected 26 Aug 2026.</w:t>
      </w:r>
    </w:p>
    <w:p>
      <w:pPr>
        <w:pStyle w:val="ListBullet"/>
      </w:pPr>
      <w:r>
        <w:t>Abate, M., Feron, E. &amp; Coogan, S. (2019). Monitor-Based Runtime Assurance for Temporal Logic Specifications. arXiv:1908.03284.</w:t>
      </w:r>
    </w:p>
    <w:p>
      <w:pPr>
        <w:pStyle w:val="ListBullet"/>
      </w:pPr>
      <w:r>
        <w:t>Mehmood, U. et al. (2020). A Distributed Simplex Architecture for Multi-Agent Systems. arXiv:2012.10153.</w:t>
      </w:r>
    </w:p>
    <w:p>
      <w:pPr>
        <w:pStyle w:val="ListBullet"/>
      </w:pPr>
      <w:r>
        <w:t>A component framework for the runtime enforcement of safety properties. Journal of Systems and Software 198 (2023), 111605. DOI 10.1016/j.jss.2022.111605.</w:t>
      </w:r>
    </w:p>
    <w:p>
      <w:pPr>
        <w:pStyle w:val="ListBullet"/>
      </w:pPr>
      <w:r>
        <w:t>Pass-8 audit artefacts: pass8_formal_graph_suite.json and pass8_fixed_assembly_ablation.json, generated 26 Aug 2026.</w:t>
      </w:r>
    </w:p>
    <w:p>
      <w:pPr>
        <w:pStyle w:val="Heading1"/>
      </w:pPr>
      <w:r>
        <w:t>61. Work carried to Pass 9/10</w:t>
      </w:r>
    </w:p>
    <w:p>
      <w:pPr>
        <w:pStyle w:val="ListBullet"/>
      </w:pPr>
      <w:r>
        <w:t>Freeze at least one domain-specific Zoran proxy map before opening a held-out empirical dataset; then execute the first valid pairwise empirical track without threshold adjustment.</w:t>
      </w:r>
    </w:p>
    <w:p>
      <w:pPr>
        <w:pStyle w:val="ListBullet"/>
      </w:pPr>
      <w:r>
        <w:t>Design and version a non-circular π/μ natural-language implementation plus a held-out adversarial corpus, or retain implementation status as absent/NON_MESURÉ.</w:t>
      </w:r>
    </w:p>
    <w:p>
      <w:pPr>
        <w:pStyle w:val="ListBullet"/>
      </w:pPr>
      <w:r>
        <w:t>Resolve 18526755 directly at Zenodo/DataCite level and harmonize 18499943 embedded licence text with its Rights metadata before Scholar packaging.</w:t>
      </w:r>
    </w:p>
    <w:p>
      <w:pPr>
        <w:pStyle w:val="ListBullet"/>
      </w:pPr>
      <w:r>
        <w:t>Turn the six-component ablation witnesses into measurable ablation tests on a real executable Zoran pipeline if the corresponding modules are publicly accessible.</w:t>
      </w:r>
    </w:p>
    <w:p>
      <w:pPr>
        <w:pStyle w:val="ListBullet"/>
      </w:pPr>
      <w:r>
        <w:t>Run final exact-combination prior-art search across patents, formal assurance, selective prediction, provenance and multi-agent safety before any novelty wording.</w:t>
      </w:r>
    </w:p>
    <w:p>
      <w:pPr>
        <w:pStyle w:val="ListBullet"/>
      </w:pPr>
      <w:r>
        <w:t>Prepare the final publication package: canonical English landing page plus hreflang pages, Scholar citation tags, ORCID/DataCite consistency, stable PDF, machine-readable bibliography, and checksums.</w:t>
      </w:r>
    </w:p>
    <w:p>
      <w:pPr>
        <w:spacing w:after="120"/>
      </w:pPr>
      <w:r>
        <w:t>Working canonical gauge retained for this pass: S = (β × ΔΦ) / (T × σ × 1). The ×1 factor is mathematically neutral. No numeric document-level S certification is claimed because β, ΔΦ, T and σ for the audit itself are not independently calibrated observables.</w:t>
      </w:r>
    </w:p>
    <w:p>
      <w:pPr>
        <w:sectPr>
          <w:headerReference w:type="default" r:id="rId19"/>
          <w:pgSz w:w="11909" w:h="16834"/>
          <w:pgMar w:top="936" w:right="1008" w:bottom="936" w:left="1008" w:header="720" w:footer="720" w:gutter="0"/>
          <w:cols w:space="720"/>
          <w:docGrid w:linePitch="360"/>
        </w:sectPr>
      </w:pPr>
    </w:p>
    <w:p>
      <w:pPr>
        <w:pStyle w:val="Heading1"/>
      </w:pPr>
      <w:r>
        <w:t>62. Pass 9/10 — Pre-publication empirical lock, executable ablation and final prior-art narrowing</w:t>
      </w:r>
    </w:p>
    <w:p>
      <w:pPr>
        <w:spacing w:after="120"/>
      </w:pPr>
      <w:r>
        <w:t>Purpose — Move from formal distinguishability toward a valid confirmatory empirical design without violating the Pass-7 anti-retuning rule. Pass 9 therefore freezes one complete domain-specific proxy map before outcome inspection, attempts acquisition of the named public benchmark, converts the six assembly witnesses into executable tests, closes π/μ public-implementation status, and re-runs prior-art only against the already fixed conjunction.</w:t>
      </w:r>
    </w:p>
    <w:p>
      <w:pPr>
        <w:spacing w:after="120"/>
      </w:pPr>
      <w:r>
        <w:t>Audit date — 26 August 2026. Negative and blocked results are retained as results; no missing metric is imputed.</w:t>
      </w:r>
    </w:p>
    <w:p>
      <w:pPr>
        <w:pStyle w:val="Heading2"/>
      </w:pPr>
      <w:r>
        <w:t>62.1 C-MAPSS FD001 preregistration certificate — frozen before outcome inspection</w:t>
      </w:r>
    </w:p>
    <w:p>
      <w:pPr>
        <w:spacing w:after="120"/>
      </w:pPr>
      <w:r>
        <w:t>Benchmark target — NASA C-MAPSS Turbofan Engine Degradation Simulation, subset FD001. Public descriptions identify 100 run-to-failure training trajectories and 100 test trajectories under one operating condition and one high-pressure-compressor degradation mode. This is simulated prognostics data, not field measurements from operating aircraft.</w:t>
      </w:r>
    </w:p>
    <w:p>
      <w:pPr>
        <w:spacing w:after="120"/>
      </w:pPr>
      <w:r>
        <w:t>Pre-registration ID: PASS9-CMAPSS-FD001-PROXYMAP-v1. Seal time: 26 August 2026, 11:12:33 UTC. SHA-512 seal recorded before outcome-value inspection: 50a3ace39a3759e042104698548ccc20c34a9ddce0ebcb675698328377489483cf87440285732107ffe46d8c8c7de47bc38e35fc09f6710d8e5192ae71306c38.</w:t>
      </w:r>
    </w:p>
    <w:tbl>
      <w:tblPr>
        <w:tblStyle w:val="TableGrid"/>
        <w:tblW w:type="auto" w:w="0"/>
        <w:jc w:val="center"/>
        <w:tblLook w:firstColumn="1" w:firstRow="1" w:lastColumn="0" w:lastRow="0" w:noHBand="0" w:noVBand="1" w:val="04A0"/>
      </w:tblPr>
      <w:tblGrid>
        <w:gridCol w:w="4946"/>
        <w:gridCol w:w="4946"/>
      </w:tblGrid>
      <w:tr>
        <w:trPr>
          <w:tblHeader w:val="true"/>
        </w:trPr>
        <w:tc>
          <w:tcPr>
            <w:tcW w:type="dxa" w:w="3240"/>
            <w:vAlign w:val="center"/>
            <w:shd w:fill="D9EAF7"/>
          </w:tcPr>
          <w:p>
            <w:pPr>
              <w:spacing w:after="0"/>
            </w:pPr>
            <w:r/>
            <w:r>
              <w:rPr>
                <w:b/>
                <w:sz w:val="16"/>
              </w:rPr>
              <w:t>Frozen element</w:t>
            </w:r>
          </w:p>
        </w:tc>
        <w:tc>
          <w:tcPr>
            <w:tcW w:type="dxa" w:w="6552"/>
            <w:vAlign w:val="center"/>
            <w:shd w:fill="D9EAF7"/>
          </w:tcPr>
          <w:p>
            <w:pPr>
              <w:spacing w:after="0"/>
            </w:pPr>
            <w:r/>
            <w:r>
              <w:rPr>
                <w:b/>
                <w:sz w:val="16"/>
              </w:rPr>
              <w:t>Pre-registered value</w:t>
            </w:r>
          </w:p>
        </w:tc>
      </w:tr>
      <w:tr>
        <w:tc>
          <w:tcPr>
            <w:tcW w:type="dxa" w:w="3240"/>
            <w:vAlign w:val="center"/>
          </w:tcPr>
          <w:p>
            <w:pPr>
              <w:spacing w:after="0"/>
            </w:pPr>
            <w:r/>
            <w:r>
              <w:rPr>
                <w:b w:val="0"/>
                <w:sz w:val="16"/>
              </w:rPr>
              <w:t>Reference / calibration engines</w:t>
            </w:r>
          </w:p>
        </w:tc>
        <w:tc>
          <w:tcPr>
            <w:tcW w:type="dxa" w:w="6552"/>
            <w:vAlign w:val="center"/>
          </w:tcPr>
          <w:p>
            <w:pPr>
              <w:spacing w:after="0"/>
            </w:pPr>
            <w:r/>
            <w:r>
              <w:rPr>
                <w:b w:val="0"/>
                <w:sz w:val="16"/>
              </w:rPr>
              <w:t>train_FD001 engine IDs 1–50 only</w:t>
            </w:r>
          </w:p>
        </w:tc>
      </w:tr>
      <w:tr>
        <w:tc>
          <w:tcPr>
            <w:tcW w:type="dxa" w:w="3240"/>
            <w:vAlign w:val="center"/>
          </w:tcPr>
          <w:p>
            <w:pPr>
              <w:spacing w:after="0"/>
            </w:pPr>
            <w:r/>
            <w:r>
              <w:rPr>
                <w:b w:val="0"/>
                <w:sz w:val="16"/>
              </w:rPr>
              <w:t>Nominal reference window</w:t>
            </w:r>
          </w:p>
        </w:tc>
        <w:tc>
          <w:tcPr>
            <w:tcW w:type="dxa" w:w="6552"/>
            <w:vAlign w:val="center"/>
          </w:tcPr>
          <w:p>
            <w:pPr>
              <w:spacing w:after="0"/>
            </w:pPr>
            <w:r/>
            <w:r>
              <w:rPr>
                <w:b w:val="0"/>
                <w:sz w:val="16"/>
              </w:rPr>
              <w:t>first 20 cycles of each reference engine</w:t>
            </w:r>
          </w:p>
        </w:tc>
      </w:tr>
      <w:tr>
        <w:tc>
          <w:tcPr>
            <w:tcW w:type="dxa" w:w="3240"/>
            <w:vAlign w:val="center"/>
          </w:tcPr>
          <w:p>
            <w:pPr>
              <w:spacing w:after="0"/>
            </w:pPr>
            <w:r/>
            <w:r>
              <w:rPr>
                <w:b w:val="0"/>
                <w:sz w:val="16"/>
              </w:rPr>
              <w:t>Held-out evaluation engines</w:t>
            </w:r>
          </w:p>
        </w:tc>
        <w:tc>
          <w:tcPr>
            <w:tcW w:type="dxa" w:w="6552"/>
            <w:vAlign w:val="center"/>
          </w:tcPr>
          <w:p>
            <w:pPr>
              <w:spacing w:after="0"/>
            </w:pPr>
            <w:r/>
            <w:r>
              <w:rPr>
                <w:b w:val="0"/>
                <w:sz w:val="16"/>
              </w:rPr>
              <w:t>train_FD001 engine IDs 51–100; never used for proxy calibration</w:t>
            </w:r>
          </w:p>
        </w:tc>
      </w:tr>
      <w:tr>
        <w:tc>
          <w:tcPr>
            <w:tcW w:type="dxa" w:w="3240"/>
            <w:vAlign w:val="center"/>
          </w:tcPr>
          <w:p>
            <w:pPr>
              <w:spacing w:after="0"/>
            </w:pPr>
            <w:r/>
            <w:r>
              <w:rPr>
                <w:b w:val="0"/>
                <w:sz w:val="16"/>
              </w:rPr>
              <w:t>Sensor set</w:t>
            </w:r>
          </w:p>
        </w:tc>
        <w:tc>
          <w:tcPr>
            <w:tcW w:type="dxa" w:w="6552"/>
            <w:vAlign w:val="center"/>
          </w:tcPr>
          <w:p>
            <w:pPr>
              <w:spacing w:after="0"/>
            </w:pPr>
            <w:r/>
            <w:r>
              <w:rPr>
                <w:b w:val="0"/>
                <w:sz w:val="16"/>
              </w:rPr>
              <w:t>all 21 sensors; exclude a channel only if baseline MAD ≤ 1e-12 by the frozen deterministic rule</w:t>
            </w:r>
          </w:p>
        </w:tc>
      </w:tr>
      <w:tr>
        <w:tc>
          <w:tcPr>
            <w:tcW w:type="dxa" w:w="3240"/>
            <w:vAlign w:val="center"/>
          </w:tcPr>
          <w:p>
            <w:pPr>
              <w:spacing w:after="0"/>
            </w:pPr>
            <w:r/>
            <w:r>
              <w:rPr>
                <w:b w:val="0"/>
                <w:sz w:val="16"/>
              </w:rPr>
              <w:t>Center / scale</w:t>
            </w:r>
          </w:p>
        </w:tc>
        <w:tc>
          <w:tcPr>
            <w:tcW w:type="dxa" w:w="6552"/>
            <w:vAlign w:val="center"/>
          </w:tcPr>
          <w:p>
            <w:pPr>
              <w:spacing w:after="0"/>
            </w:pPr>
            <w:r/>
            <w:r>
              <w:rPr>
                <w:b w:val="0"/>
                <w:sz w:val="16"/>
              </w:rPr>
              <w:t>pooled baseline median; robust scale = 1.4826 × MAD</w:t>
            </w:r>
          </w:p>
        </w:tc>
      </w:tr>
      <w:tr>
        <w:tc>
          <w:tcPr>
            <w:tcW w:type="dxa" w:w="3240"/>
            <w:vAlign w:val="center"/>
          </w:tcPr>
          <w:p>
            <w:pPr>
              <w:spacing w:after="0"/>
            </w:pPr>
            <w:r/>
            <w:r>
              <w:rPr>
                <w:b w:val="0"/>
                <w:sz w:val="16"/>
              </w:rPr>
              <w:t>β</w:t>
            </w:r>
          </w:p>
        </w:tc>
        <w:tc>
          <w:tcPr>
            <w:tcW w:type="dxa" w:w="6552"/>
            <w:vAlign w:val="center"/>
          </w:tcPr>
          <w:p>
            <w:pPr>
              <w:spacing w:after="0"/>
            </w:pPr>
            <w:r/>
            <w:r>
              <w:rPr>
                <w:b w:val="0"/>
                <w:sz w:val="16"/>
              </w:rPr>
              <w:t>(1 + q50_baseline_absz) / (1 + median_j |z_j(t)|)</w:t>
            </w:r>
          </w:p>
        </w:tc>
      </w:tr>
      <w:tr>
        <w:tc>
          <w:tcPr>
            <w:tcW w:type="dxa" w:w="3240"/>
            <w:vAlign w:val="center"/>
          </w:tcPr>
          <w:p>
            <w:pPr>
              <w:spacing w:after="0"/>
            </w:pPr>
            <w:r/>
            <w:r>
              <w:rPr>
                <w:b w:val="0"/>
                <w:sz w:val="16"/>
              </w:rPr>
              <w:t>ΔΦ</w:t>
            </w:r>
          </w:p>
        </w:tc>
        <w:tc>
          <w:tcPr>
            <w:tcW w:type="dxa" w:w="6552"/>
            <w:vAlign w:val="center"/>
          </w:tcPr>
          <w:p>
            <w:pPr>
              <w:spacing w:after="0"/>
            </w:pPr>
            <w:r/>
            <w:r>
              <w:rPr>
                <w:b w:val="0"/>
                <w:sz w:val="16"/>
              </w:rPr>
              <w:t>(1 + q50_baseline_crossmad) / (1 + MAD_j z_j(t))</w:t>
            </w:r>
          </w:p>
        </w:tc>
      </w:tr>
      <w:tr>
        <w:tc>
          <w:tcPr>
            <w:tcW w:type="dxa" w:w="3240"/>
            <w:vAlign w:val="center"/>
          </w:tcPr>
          <w:p>
            <w:pPr>
              <w:spacing w:after="0"/>
            </w:pPr>
            <w:r/>
            <w:r>
              <w:rPr>
                <w:b w:val="0"/>
                <w:sz w:val="16"/>
              </w:rPr>
              <w:t>T</w:t>
            </w:r>
          </w:p>
        </w:tc>
        <w:tc>
          <w:tcPr>
            <w:tcW w:type="dxa" w:w="6552"/>
            <w:vAlign w:val="center"/>
          </w:tcPr>
          <w:p>
            <w:pPr>
              <w:spacing w:after="0"/>
            </w:pPr>
            <w:r/>
            <w:r>
              <w:rPr>
                <w:b w:val="0"/>
                <w:sz w:val="16"/>
              </w:rPr>
              <w:t>(1 + median_j max(0, |z_j(t)|−|z_j(t−1)|)) / (1 + q50_baseline_posdrift)</w:t>
            </w:r>
          </w:p>
        </w:tc>
      </w:tr>
      <w:tr>
        <w:tc>
          <w:tcPr>
            <w:tcW w:type="dxa" w:w="3240"/>
            <w:vAlign w:val="center"/>
          </w:tcPr>
          <w:p>
            <w:pPr>
              <w:spacing w:after="0"/>
            </w:pPr>
            <w:r/>
            <w:r>
              <w:rPr>
                <w:b w:val="0"/>
                <w:sz w:val="16"/>
              </w:rPr>
              <w:t>σ</w:t>
            </w:r>
          </w:p>
        </w:tc>
        <w:tc>
          <w:tcPr>
            <w:tcW w:type="dxa" w:w="6552"/>
            <w:vAlign w:val="center"/>
          </w:tcPr>
          <w:p>
            <w:pPr>
              <w:spacing w:after="0"/>
            </w:pPr>
            <w:r/>
            <w:r>
              <w:rPr>
                <w:b w:val="0"/>
                <w:sz w:val="16"/>
              </w:rPr>
              <w:t>(1 + MAD_j Δz_j(t)) / (1 + q50_baseline_deltamad)</w:t>
            </w:r>
          </w:p>
        </w:tc>
      </w:tr>
      <w:tr>
        <w:tc>
          <w:tcPr>
            <w:tcW w:type="dxa" w:w="3240"/>
            <w:vAlign w:val="center"/>
          </w:tcPr>
          <w:p>
            <w:pPr>
              <w:spacing w:after="0"/>
            </w:pPr>
            <w:r/>
            <w:r>
              <w:rPr>
                <w:b w:val="0"/>
                <w:sz w:val="16"/>
              </w:rPr>
              <w:t>S</w:t>
            </w:r>
          </w:p>
        </w:tc>
        <w:tc>
          <w:tcPr>
            <w:tcW w:type="dxa" w:w="6552"/>
            <w:vAlign w:val="center"/>
          </w:tcPr>
          <w:p>
            <w:pPr>
              <w:spacing w:after="0"/>
            </w:pPr>
            <w:r/>
            <w:r>
              <w:rPr>
                <w:b w:val="0"/>
                <w:sz w:val="16"/>
              </w:rPr>
              <w:t>β·ΔΦ / (T·σ·1)</w:t>
            </w:r>
          </w:p>
        </w:tc>
      </w:tr>
      <w:tr>
        <w:tc>
          <w:tcPr>
            <w:tcW w:type="dxa" w:w="3240"/>
            <w:vAlign w:val="center"/>
          </w:tcPr>
          <w:p>
            <w:pPr>
              <w:spacing w:after="0"/>
            </w:pPr>
            <w:r/>
            <w:r>
              <w:rPr>
                <w:b w:val="0"/>
                <w:sz w:val="16"/>
              </w:rPr>
              <w:t>Primary outcome</w:t>
            </w:r>
          </w:p>
        </w:tc>
        <w:tc>
          <w:tcPr>
            <w:tcW w:type="dxa" w:w="6552"/>
            <w:vAlign w:val="center"/>
          </w:tcPr>
          <w:p>
            <w:pPr>
              <w:spacing w:after="0"/>
            </w:pPr>
            <w:r/>
            <w:r>
              <w:rPr>
                <w:b w:val="0"/>
                <w:sz w:val="16"/>
              </w:rPr>
              <w:t>median per-engine Spearman ρ(S,RUL), expected positive</w:t>
            </w:r>
          </w:p>
        </w:tc>
      </w:tr>
      <w:tr>
        <w:tc>
          <w:tcPr>
            <w:tcW w:type="dxa" w:w="3240"/>
            <w:vAlign w:val="center"/>
          </w:tcPr>
          <w:p>
            <w:pPr>
              <w:spacing w:after="0"/>
            </w:pPr>
            <w:r/>
            <w:r>
              <w:rPr>
                <w:b w:val="0"/>
                <w:sz w:val="16"/>
              </w:rPr>
              <w:t>Comparator</w:t>
            </w:r>
          </w:p>
        </w:tc>
        <w:tc>
          <w:tcPr>
            <w:tcW w:type="dxa" w:w="6552"/>
            <w:vAlign w:val="center"/>
          </w:tcPr>
          <w:p>
            <w:pPr>
              <w:spacing w:after="0"/>
            </w:pPr>
            <w:r/>
            <w:r>
              <w:rPr>
                <w:b w:val="0"/>
                <w:sz w:val="16"/>
              </w:rPr>
              <w:t>D = median_j |z_j(t)|, frozen without tuning</w:t>
            </w:r>
          </w:p>
        </w:tc>
      </w:tr>
      <w:tr>
        <w:tc>
          <w:tcPr>
            <w:tcW w:type="dxa" w:w="3240"/>
            <w:vAlign w:val="center"/>
          </w:tcPr>
          <w:p>
            <w:pPr>
              <w:spacing w:after="0"/>
            </w:pPr>
            <w:r/>
            <w:r>
              <w:rPr>
                <w:b w:val="0"/>
                <w:sz w:val="16"/>
              </w:rPr>
              <w:t>Falsification rule</w:t>
            </w:r>
          </w:p>
        </w:tc>
        <w:tc>
          <w:tcPr>
            <w:tcW w:type="dxa" w:w="6552"/>
            <w:vAlign w:val="center"/>
          </w:tcPr>
          <w:p>
            <w:pPr>
              <w:spacing w:after="0"/>
            </w:pPr>
            <w:r/>
            <w:r>
              <w:rPr>
                <w:b w:val="0"/>
                <w:sz w:val="16"/>
              </w:rPr>
              <w:t>median per-engine ρ≤0 OR 95% engine-bootstrap CI not strictly positive; no proxy retuning</w:t>
            </w:r>
          </w:p>
        </w:tc>
      </w:tr>
    </w:tbl>
    <w:p>
      <w:pPr>
        <w:spacing w:after="120"/>
      </w:pPr>
      <w:r>
        <w:t>Anti-cherry-picking rule — No sensor selection, sign flip, proxy redefinition, threshold tuning, RUL-horizon tuning or engine reassignment is permitted after the seal. If the preregistered track cannot be executed exactly, it remains NON_MESURÉ.</w:t>
      </w:r>
    </w:p>
    <w:p>
      <w:pPr>
        <w:sectPr>
          <w:headerReference w:type="default" r:id="rId20"/>
          <w:pgSz w:w="11909" w:h="16834"/>
          <w:pgMar w:top="936" w:right="1008" w:bottom="936" w:left="1008" w:header="720" w:footer="720" w:gutter="0"/>
          <w:cols w:space="720"/>
          <w:docGrid w:linePitch="360"/>
        </w:sectPr>
      </w:pPr>
    </w:p>
    <w:p>
      <w:pPr>
        <w:pStyle w:val="Heading1"/>
      </w:pPr>
      <w:r>
        <w:t>63. First confirmatory empirical track — execution status</w:t>
      </w:r>
    </w:p>
    <w:p>
      <w:pPr>
        <w:spacing w:after="120"/>
      </w:pPr>
      <w:r>
        <w:t>Source verification succeeded. The original-format public GitHub mirror exposes train_FD001.txt with 20,631 rows; an independent Hugging Face mirror exposes the FD001 CSV and documents the same 100/100, one-condition, one-fault structure. The Hugging Face mirror additionally supplies precomputed RUL values, but the frozen protocol defines RUL independently as max_cycle(engine) − cycle to avoid dependence on that preprocessing.</w:t>
      </w:r>
    </w:p>
    <w:p>
      <w:pPr>
        <w:spacing w:after="120"/>
      </w:pPr>
      <w:r>
        <w:t>Execution did not succeed in the current runtime. The web/browser surface could display public rows after the preregistration seal, but the complete FD001 training file could not be acquired as executable bytes through the available container/connector path. Partial-row execution would violate the frozen “all held-out engines 51–100” requirement.</w:t>
      </w:r>
    </w:p>
    <w:tbl>
      <w:tblPr>
        <w:tblStyle w:val="TableGrid"/>
        <w:tblW w:type="auto" w:w="0"/>
        <w:jc w:val="center"/>
        <w:tblLook w:firstColumn="1" w:firstRow="1" w:lastColumn="0" w:lastRow="0" w:noHBand="0" w:noVBand="1" w:val="04A0"/>
      </w:tblPr>
      <w:tblGrid>
        <w:gridCol w:w="3298"/>
        <w:gridCol w:w="3298"/>
        <w:gridCol w:w="3298"/>
      </w:tblGrid>
      <w:tr>
        <w:trPr>
          <w:tblHeader w:val="true"/>
        </w:trPr>
        <w:tc>
          <w:tcPr>
            <w:tcW w:type="dxa" w:w="3528"/>
            <w:vAlign w:val="center"/>
            <w:shd w:fill="D9EAF7"/>
          </w:tcPr>
          <w:p>
            <w:pPr>
              <w:spacing w:after="0"/>
            </w:pPr>
            <w:r/>
            <w:r>
              <w:rPr>
                <w:b/>
                <w:sz w:val="16"/>
              </w:rPr>
              <w:t>Gate</w:t>
            </w:r>
          </w:p>
        </w:tc>
        <w:tc>
          <w:tcPr>
            <w:tcW w:type="dxa" w:w="1944"/>
            <w:vAlign w:val="center"/>
            <w:shd w:fill="D9EAF7"/>
          </w:tcPr>
          <w:p>
            <w:pPr>
              <w:spacing w:after="0"/>
            </w:pPr>
            <w:r/>
            <w:r>
              <w:rPr>
                <w:b/>
                <w:sz w:val="16"/>
              </w:rPr>
              <w:t>Status</w:t>
            </w:r>
          </w:p>
        </w:tc>
        <w:tc>
          <w:tcPr>
            <w:tcW w:type="dxa" w:w="4320"/>
            <w:vAlign w:val="center"/>
            <w:shd w:fill="D9EAF7"/>
          </w:tcPr>
          <w:p>
            <w:pPr>
              <w:spacing w:after="0"/>
            </w:pPr>
            <w:r/>
            <w:r>
              <w:rPr>
                <w:b/>
                <w:sz w:val="16"/>
              </w:rPr>
              <w:t>Consequence</w:t>
            </w:r>
          </w:p>
        </w:tc>
      </w:tr>
      <w:tr>
        <w:tc>
          <w:tcPr>
            <w:tcW w:type="dxa" w:w="3528"/>
            <w:vAlign w:val="center"/>
          </w:tcPr>
          <w:p>
            <w:pPr>
              <w:spacing w:after="0"/>
            </w:pPr>
            <w:r/>
            <w:r>
              <w:rPr>
                <w:b w:val="0"/>
                <w:sz w:val="16"/>
              </w:rPr>
              <w:t>Proxy map frozen before outcome inspection</w:t>
            </w:r>
          </w:p>
        </w:tc>
        <w:tc>
          <w:tcPr>
            <w:tcW w:type="dxa" w:w="1944"/>
            <w:vAlign w:val="center"/>
          </w:tcPr>
          <w:p>
            <w:pPr>
              <w:spacing w:after="0"/>
            </w:pPr>
            <w:r/>
            <w:r>
              <w:rPr>
                <w:b w:val="0"/>
                <w:sz w:val="16"/>
              </w:rPr>
              <w:t>PASS</w:t>
            </w:r>
          </w:p>
        </w:tc>
        <w:tc>
          <w:tcPr>
            <w:tcW w:type="dxa" w:w="4320"/>
            <w:vAlign w:val="center"/>
          </w:tcPr>
          <w:p>
            <w:pPr>
              <w:spacing w:after="0"/>
            </w:pPr>
            <w:r/>
            <w:r>
              <w:rPr>
                <w:b w:val="0"/>
                <w:sz w:val="16"/>
              </w:rPr>
              <w:t>Design is prospectively specified.</w:t>
            </w:r>
          </w:p>
        </w:tc>
      </w:tr>
      <w:tr>
        <w:tc>
          <w:tcPr>
            <w:tcW w:type="dxa" w:w="3528"/>
            <w:vAlign w:val="center"/>
          </w:tcPr>
          <w:p>
            <w:pPr>
              <w:spacing w:after="0"/>
            </w:pPr>
            <w:r/>
            <w:r>
              <w:rPr>
                <w:b w:val="0"/>
                <w:sz w:val="16"/>
              </w:rPr>
              <w:t>Public dataset identity and shape verified</w:t>
            </w:r>
          </w:p>
        </w:tc>
        <w:tc>
          <w:tcPr>
            <w:tcW w:type="dxa" w:w="1944"/>
            <w:vAlign w:val="center"/>
          </w:tcPr>
          <w:p>
            <w:pPr>
              <w:spacing w:after="0"/>
            </w:pPr>
            <w:r/>
            <w:r>
              <w:rPr>
                <w:b w:val="0"/>
                <w:sz w:val="16"/>
              </w:rPr>
              <w:t>PASS</w:t>
            </w:r>
          </w:p>
        </w:tc>
        <w:tc>
          <w:tcPr>
            <w:tcW w:type="dxa" w:w="4320"/>
            <w:vAlign w:val="center"/>
          </w:tcPr>
          <w:p>
            <w:pPr>
              <w:spacing w:after="0"/>
            </w:pPr>
            <w:r/>
            <w:r>
              <w:rPr>
                <w:b w:val="0"/>
                <w:sz w:val="16"/>
              </w:rPr>
              <w:t>Correct benchmark target identified.</w:t>
            </w:r>
          </w:p>
        </w:tc>
      </w:tr>
      <w:tr>
        <w:tc>
          <w:tcPr>
            <w:tcW w:type="dxa" w:w="3528"/>
            <w:vAlign w:val="center"/>
          </w:tcPr>
          <w:p>
            <w:pPr>
              <w:spacing w:after="0"/>
            </w:pPr>
            <w:r/>
            <w:r>
              <w:rPr>
                <w:b w:val="0"/>
                <w:sz w:val="16"/>
              </w:rPr>
              <w:t>Complete 20,631-row training bytes acquired in runtime</w:t>
            </w:r>
          </w:p>
        </w:tc>
        <w:tc>
          <w:tcPr>
            <w:tcW w:type="dxa" w:w="1944"/>
            <w:vAlign w:val="center"/>
          </w:tcPr>
          <w:p>
            <w:pPr>
              <w:spacing w:after="0"/>
            </w:pPr>
            <w:r/>
            <w:r>
              <w:rPr>
                <w:b w:val="0"/>
                <w:sz w:val="16"/>
              </w:rPr>
              <w:t>FAIL / ACCESS BLOCK</w:t>
            </w:r>
          </w:p>
        </w:tc>
        <w:tc>
          <w:tcPr>
            <w:tcW w:type="dxa" w:w="4320"/>
            <w:vAlign w:val="center"/>
          </w:tcPr>
          <w:p>
            <w:pPr>
              <w:spacing w:after="0"/>
            </w:pPr>
            <w:r/>
            <w:r>
              <w:rPr>
                <w:b w:val="0"/>
                <w:sz w:val="16"/>
              </w:rPr>
              <w:t>No confirmatory computation permitted.</w:t>
            </w:r>
          </w:p>
        </w:tc>
      </w:tr>
      <w:tr>
        <w:tc>
          <w:tcPr>
            <w:tcW w:type="dxa" w:w="3528"/>
            <w:vAlign w:val="center"/>
          </w:tcPr>
          <w:p>
            <w:pPr>
              <w:spacing w:after="0"/>
            </w:pPr>
            <w:r/>
            <w:r>
              <w:rPr>
                <w:b w:val="0"/>
                <w:sz w:val="16"/>
              </w:rPr>
              <w:t>Held-out engines 51–100 evaluated</w:t>
            </w:r>
          </w:p>
        </w:tc>
        <w:tc>
          <w:tcPr>
            <w:tcW w:type="dxa" w:w="1944"/>
            <w:vAlign w:val="center"/>
          </w:tcPr>
          <w:p>
            <w:pPr>
              <w:spacing w:after="0"/>
            </w:pPr>
            <w:r/>
            <w:r>
              <w:rPr>
                <w:b w:val="0"/>
                <w:sz w:val="16"/>
              </w:rPr>
              <w:t>NON_MESURÉ</w:t>
            </w:r>
          </w:p>
        </w:tc>
        <w:tc>
          <w:tcPr>
            <w:tcW w:type="dxa" w:w="4320"/>
            <w:vAlign w:val="center"/>
          </w:tcPr>
          <w:p>
            <w:pPr>
              <w:spacing w:after="0"/>
            </w:pPr>
            <w:r/>
            <w:r>
              <w:rPr>
                <w:b w:val="0"/>
                <w:sz w:val="16"/>
              </w:rPr>
              <w:t>No ρ, CI, AUC or crossing lead reported.</w:t>
            </w:r>
          </w:p>
        </w:tc>
      </w:tr>
      <w:tr>
        <w:tc>
          <w:tcPr>
            <w:tcW w:type="dxa" w:w="3528"/>
            <w:vAlign w:val="center"/>
          </w:tcPr>
          <w:p>
            <w:pPr>
              <w:spacing w:after="0"/>
            </w:pPr>
            <w:r/>
            <w:r>
              <w:rPr>
                <w:b w:val="0"/>
                <w:sz w:val="16"/>
              </w:rPr>
              <w:t>Post-hoc workaround</w:t>
            </w:r>
          </w:p>
        </w:tc>
        <w:tc>
          <w:tcPr>
            <w:tcW w:type="dxa" w:w="1944"/>
            <w:vAlign w:val="center"/>
          </w:tcPr>
          <w:p>
            <w:pPr>
              <w:spacing w:after="0"/>
            </w:pPr>
            <w:r/>
            <w:r>
              <w:rPr>
                <w:b w:val="0"/>
                <w:sz w:val="16"/>
              </w:rPr>
              <w:t>FORBIDDEN</w:t>
            </w:r>
          </w:p>
        </w:tc>
        <w:tc>
          <w:tcPr>
            <w:tcW w:type="dxa" w:w="4320"/>
            <w:vAlign w:val="center"/>
          </w:tcPr>
          <w:p>
            <w:pPr>
              <w:spacing w:after="0"/>
            </w:pPr>
            <w:r/>
            <w:r>
              <w:rPr>
                <w:b w:val="0"/>
                <w:sz w:val="16"/>
              </w:rPr>
              <w:t>No smaller subset, retuned map or replacement dataset may be presented as this preregistered test.</w:t>
            </w:r>
          </w:p>
        </w:tc>
      </w:tr>
    </w:tbl>
    <w:p>
      <w:pPr>
        <w:spacing w:after="120"/>
      </w:pPr>
      <w:r>
        <w:t>Scientific verdict — The first empirical benchmark is PREREGISTERED BUT NOT EXECUTED. This is a stronger scientific state than a retrospective fit because the missing result is explicit and the decision rule cannot be changed after the fact. Pass 10 may execute the exact sealed protocol if the full file becomes available; otherwise the final paper must preserve NON_MESURÉ.</w:t>
      </w:r>
    </w:p>
    <w:p>
      <w:pPr>
        <w:spacing w:after="120"/>
      </w:pPr>
      <w:r>
        <w:t>Audit artefact — pass9_cmapss_access_certificate.json; preregistration file pass9_prereg_proxy_cmapss_fd001.json and its independent seal file are retained with the working package.</w:t>
      </w:r>
    </w:p>
    <w:p>
      <w:pPr>
        <w:pStyle w:val="Heading1"/>
      </w:pPr>
      <w:r>
        <w:t>64. π/μ public executable closure — no historical implementation manufactured</w:t>
      </w:r>
    </w:p>
    <w:p>
      <w:pPr>
        <w:spacing w:after="120"/>
      </w:pPr>
      <w:r>
        <w:t>DOI 10.5281/zenodo.18500363 specifies output-only admissibility, a projection π: O→S, inadmissible structural classes and prudence under ambiguity μ&gt;0. Its connected public directory contains README.md, axioms.md, metadata.json, tests.md and white_paper.md. No executable natural-language projection/ambiguity implementation was found on that public surface.</w:t>
      </w:r>
    </w:p>
    <w:tbl>
      <w:tblPr>
        <w:tblStyle w:val="TableGrid"/>
        <w:tblW w:type="auto" w:w="0"/>
        <w:jc w:val="center"/>
        <w:tblLook w:firstColumn="1" w:firstRow="1" w:lastColumn="0" w:lastRow="0" w:noHBand="0" w:noVBand="1" w:val="04A0"/>
      </w:tblPr>
      <w:tblGrid>
        <w:gridCol w:w="4946"/>
        <w:gridCol w:w="4946"/>
      </w:tblGrid>
      <w:tr>
        <w:trPr>
          <w:tblHeader w:val="true"/>
        </w:trPr>
        <w:tc>
          <w:tcPr>
            <w:tcW w:type="dxa" w:w="4752"/>
            <w:vAlign w:val="center"/>
            <w:shd w:fill="D9EAF7"/>
          </w:tcPr>
          <w:p>
            <w:pPr>
              <w:spacing w:after="0"/>
            </w:pPr>
            <w:r/>
            <w:r>
              <w:rPr>
                <w:b/>
                <w:sz w:val="16"/>
              </w:rPr>
              <w:t>Metric required by Pass 8</w:t>
            </w:r>
          </w:p>
        </w:tc>
        <w:tc>
          <w:tcPr>
            <w:tcW w:type="dxa" w:w="4608"/>
            <w:vAlign w:val="center"/>
            <w:shd w:fill="D9EAF7"/>
          </w:tcPr>
          <w:p>
            <w:pPr>
              <w:spacing w:after="0"/>
            </w:pPr>
            <w:r/>
            <w:r>
              <w:rPr>
                <w:b/>
                <w:sz w:val="16"/>
              </w:rPr>
              <w:t>Pass-9 status</w:t>
            </w:r>
          </w:p>
        </w:tc>
      </w:tr>
      <w:tr>
        <w:tc>
          <w:tcPr>
            <w:tcW w:type="dxa" w:w="4752"/>
            <w:vAlign w:val="center"/>
          </w:tcPr>
          <w:p>
            <w:pPr>
              <w:spacing w:after="0"/>
            </w:pPr>
            <w:r/>
            <w:r>
              <w:rPr>
                <w:b w:val="0"/>
                <w:sz w:val="16"/>
              </w:rPr>
              <w:t>False accept rate</w:t>
            </w:r>
          </w:p>
        </w:tc>
        <w:tc>
          <w:tcPr>
            <w:tcW w:type="dxa" w:w="4608"/>
            <w:vAlign w:val="center"/>
          </w:tcPr>
          <w:p>
            <w:pPr>
              <w:spacing w:after="0"/>
            </w:pPr>
            <w:r/>
            <w:r>
              <w:rPr>
                <w:b w:val="0"/>
                <w:sz w:val="16"/>
              </w:rPr>
              <w:t>NON_MESURÉ</w:t>
            </w:r>
          </w:p>
        </w:tc>
      </w:tr>
      <w:tr>
        <w:tc>
          <w:tcPr>
            <w:tcW w:type="dxa" w:w="4752"/>
            <w:vAlign w:val="center"/>
          </w:tcPr>
          <w:p>
            <w:pPr>
              <w:spacing w:after="0"/>
            </w:pPr>
            <w:r/>
            <w:r>
              <w:rPr>
                <w:b w:val="0"/>
                <w:sz w:val="16"/>
              </w:rPr>
              <w:t>False refuse rate</w:t>
            </w:r>
          </w:p>
        </w:tc>
        <w:tc>
          <w:tcPr>
            <w:tcW w:type="dxa" w:w="4608"/>
            <w:vAlign w:val="center"/>
          </w:tcPr>
          <w:p>
            <w:pPr>
              <w:spacing w:after="0"/>
            </w:pPr>
            <w:r/>
            <w:r>
              <w:rPr>
                <w:b w:val="0"/>
                <w:sz w:val="16"/>
              </w:rPr>
              <w:t>NON_MESURÉ</w:t>
            </w:r>
          </w:p>
        </w:tc>
      </w:tr>
      <w:tr>
        <w:tc>
          <w:tcPr>
            <w:tcW w:type="dxa" w:w="4752"/>
            <w:vAlign w:val="center"/>
          </w:tcPr>
          <w:p>
            <w:pPr>
              <w:spacing w:after="0"/>
            </w:pPr>
            <w:r/>
            <w:r>
              <w:rPr>
                <w:b w:val="0"/>
                <w:sz w:val="16"/>
              </w:rPr>
              <w:t>Reformulation robustness</w:t>
            </w:r>
          </w:p>
        </w:tc>
        <w:tc>
          <w:tcPr>
            <w:tcW w:type="dxa" w:w="4608"/>
            <w:vAlign w:val="center"/>
          </w:tcPr>
          <w:p>
            <w:pPr>
              <w:spacing w:after="0"/>
            </w:pPr>
            <w:r/>
            <w:r>
              <w:rPr>
                <w:b w:val="0"/>
                <w:sz w:val="16"/>
              </w:rPr>
              <w:t>NON_MESURÉ</w:t>
            </w:r>
          </w:p>
        </w:tc>
      </w:tr>
      <w:tr>
        <w:tc>
          <w:tcPr>
            <w:tcW w:type="dxa" w:w="4752"/>
            <w:vAlign w:val="center"/>
          </w:tcPr>
          <w:p>
            <w:pPr>
              <w:spacing w:after="0"/>
            </w:pPr>
            <w:r/>
            <w:r>
              <w:rPr>
                <w:b w:val="0"/>
                <w:sz w:val="16"/>
              </w:rPr>
              <w:t>Reset invariance</w:t>
            </w:r>
          </w:p>
        </w:tc>
        <w:tc>
          <w:tcPr>
            <w:tcW w:type="dxa" w:w="4608"/>
            <w:vAlign w:val="center"/>
          </w:tcPr>
          <w:p>
            <w:pPr>
              <w:spacing w:after="0"/>
            </w:pPr>
            <w:r/>
            <w:r>
              <w:rPr>
                <w:b w:val="0"/>
                <w:sz w:val="16"/>
              </w:rPr>
              <w:t>NON_MESURÉ</w:t>
            </w:r>
          </w:p>
        </w:tc>
      </w:tr>
      <w:tr>
        <w:tc>
          <w:tcPr>
            <w:tcW w:type="dxa" w:w="4752"/>
            <w:vAlign w:val="center"/>
          </w:tcPr>
          <w:p>
            <w:pPr>
              <w:spacing w:after="0"/>
            </w:pPr>
            <w:r/>
            <w:r>
              <w:rPr>
                <w:b w:val="0"/>
                <w:sz w:val="16"/>
              </w:rPr>
              <w:t>Executable π/μ parser</w:t>
            </w:r>
          </w:p>
        </w:tc>
        <w:tc>
          <w:tcPr>
            <w:tcW w:type="dxa" w:w="4608"/>
            <w:vAlign w:val="center"/>
          </w:tcPr>
          <w:p>
            <w:pPr>
              <w:spacing w:after="0"/>
            </w:pPr>
            <w:r/>
            <w:r>
              <w:rPr>
                <w:b w:val="0"/>
                <w:sz w:val="16"/>
              </w:rPr>
              <w:t>PUBLIC EXECUTABLE ABSENT ON CONNECTED CORPUS SURFACE</w:t>
            </w:r>
          </w:p>
        </w:tc>
      </w:tr>
    </w:tbl>
    <w:p>
      <w:pPr>
        <w:spacing w:after="120"/>
      </w:pPr>
      <w:r>
        <w:t>Decision — No ad-hoc NLP parser is created and relabeled as historical Zoran. A future π/μ implementation would be a new versioned artefact requiring its own frozen ontology, annotation protocol, held-out corpus and inter-annotator/reference standard.</w:t>
      </w:r>
    </w:p>
    <w:p>
      <w:pPr>
        <w:sectPr>
          <w:headerReference w:type="default" r:id="rId21"/>
          <w:pgSz w:w="11909" w:h="16834"/>
          <w:pgMar w:top="936" w:right="1008" w:bottom="936" w:left="1008" w:header="720" w:footer="720" w:gutter="0"/>
          <w:cols w:space="720"/>
          <w:docGrid w:linePitch="360"/>
        </w:sectPr>
      </w:pPr>
    </w:p>
    <w:p>
      <w:pPr>
        <w:pStyle w:val="Heading1"/>
      </w:pPr>
      <w:r>
        <w:t>65. Six-component assembly ablation — executable audit harness</w:t>
      </w:r>
    </w:p>
    <w:p>
      <w:pPr>
        <w:spacing w:after="120"/>
      </w:pPr>
      <w:r>
        <w:t>Pass 8 supplied structural witnesses. Pass 9 implements those witnesses as a deterministic Python audit harness with six component switches. The harness is explicitly an audit artefact created on 26 August 2026; it is not evidence that this exact runtime existed historically in Zoran.</w:t>
      </w:r>
    </w:p>
    <w:tbl>
      <w:tblPr>
        <w:tblStyle w:val="TableGrid"/>
        <w:tblW w:type="auto" w:w="0"/>
        <w:jc w:val="center"/>
        <w:tblLook w:firstColumn="1" w:firstRow="1" w:lastColumn="0" w:lastRow="0" w:noHBand="0" w:noVBand="1" w:val="04A0"/>
      </w:tblPr>
      <w:tblGrid>
        <w:gridCol w:w="3298"/>
        <w:gridCol w:w="3298"/>
        <w:gridCol w:w="3298"/>
      </w:tblGrid>
      <w:tr>
        <w:trPr>
          <w:tblHeader w:val="true"/>
        </w:trPr>
        <w:tc>
          <w:tcPr>
            <w:tcW w:type="dxa" w:w="3096"/>
            <w:vAlign w:val="center"/>
            <w:shd w:fill="D9EAF7"/>
          </w:tcPr>
          <w:p>
            <w:pPr>
              <w:spacing w:after="0"/>
            </w:pPr>
            <w:r/>
            <w:r>
              <w:rPr>
                <w:b/>
                <w:sz w:val="15"/>
              </w:rPr>
              <w:t>Component removed</w:t>
            </w:r>
          </w:p>
        </w:tc>
        <w:tc>
          <w:tcPr>
            <w:tcW w:type="dxa" w:w="5904"/>
            <w:vAlign w:val="center"/>
            <w:shd w:fill="D9EAF7"/>
          </w:tcPr>
          <w:p>
            <w:pPr>
              <w:spacing w:after="0"/>
            </w:pPr>
            <w:r/>
            <w:r>
              <w:rPr>
                <w:b/>
                <w:sz w:val="15"/>
              </w:rPr>
              <w:t>Executable property tested</w:t>
            </w:r>
          </w:p>
        </w:tc>
        <w:tc>
          <w:tcPr>
            <w:tcW w:type="dxa" w:w="1080"/>
            <w:vAlign w:val="center"/>
            <w:shd w:fill="D9EAF7"/>
          </w:tcPr>
          <w:p>
            <w:pPr>
              <w:spacing w:after="0"/>
            </w:pPr>
            <w:r/>
            <w:r>
              <w:rPr>
                <w:b/>
                <w:sz w:val="15"/>
              </w:rPr>
              <w:t>Result</w:t>
            </w:r>
          </w:p>
        </w:tc>
      </w:tr>
      <w:tr>
        <w:tc>
          <w:tcPr>
            <w:tcW w:type="dxa" w:w="3096"/>
            <w:vAlign w:val="center"/>
          </w:tcPr>
          <w:p>
            <w:pPr>
              <w:spacing w:after="0"/>
            </w:pPr>
            <w:r/>
            <w:r>
              <w:rPr>
                <w:b w:val="0"/>
                <w:sz w:val="15"/>
              </w:rPr>
              <w:t>Declared frames/proxies</w:t>
            </w:r>
          </w:p>
        </w:tc>
        <w:tc>
          <w:tcPr>
            <w:tcW w:type="dxa" w:w="5904"/>
            <w:vAlign w:val="center"/>
          </w:tcPr>
          <w:p>
            <w:pPr>
              <w:spacing w:after="0"/>
            </w:pPr>
            <w:r/>
            <w:r>
              <w:rPr>
                <w:b w:val="0"/>
                <w:sz w:val="15"/>
              </w:rPr>
              <w:t>frame localization disappears and collapses to a global scalar</w:t>
            </w:r>
          </w:p>
        </w:tc>
        <w:tc>
          <w:tcPr>
            <w:tcW w:type="dxa" w:w="1080"/>
            <w:vAlign w:val="center"/>
          </w:tcPr>
          <w:p>
            <w:pPr>
              <w:spacing w:after="0"/>
            </w:pPr>
            <w:r/>
            <w:r>
              <w:rPr>
                <w:b w:val="0"/>
                <w:sz w:val="15"/>
              </w:rPr>
              <w:t>PASS</w:t>
            </w:r>
          </w:p>
        </w:tc>
      </w:tr>
      <w:tr>
        <w:tc>
          <w:tcPr>
            <w:tcW w:type="dxa" w:w="3096"/>
            <w:vAlign w:val="center"/>
          </w:tcPr>
          <w:p>
            <w:pPr>
              <w:spacing w:after="0"/>
            </w:pPr>
            <w:r/>
            <w:r>
              <w:rPr>
                <w:b w:val="0"/>
                <w:sz w:val="15"/>
              </w:rPr>
              <w:t>Non-compensation/veto</w:t>
            </w:r>
          </w:p>
        </w:tc>
        <w:tc>
          <w:tcPr>
            <w:tcW w:type="dxa" w:w="5904"/>
            <w:vAlign w:val="center"/>
          </w:tcPr>
          <w:p>
            <w:pPr>
              <w:spacing w:after="0"/>
            </w:pPr>
            <w:r/>
            <w:r>
              <w:rPr>
                <w:b w:val="0"/>
                <w:sz w:val="15"/>
              </w:rPr>
              <w:t>[1.40,0.70] changes from REFUSE to compensatory ACCEPT</w:t>
            </w:r>
          </w:p>
        </w:tc>
        <w:tc>
          <w:tcPr>
            <w:tcW w:type="dxa" w:w="1080"/>
            <w:vAlign w:val="center"/>
          </w:tcPr>
          <w:p>
            <w:pPr>
              <w:spacing w:after="0"/>
            </w:pPr>
            <w:r/>
            <w:r>
              <w:rPr>
                <w:b w:val="0"/>
                <w:sz w:val="15"/>
              </w:rPr>
              <w:t>PASS</w:t>
            </w:r>
          </w:p>
        </w:tc>
      </w:tr>
      <w:tr>
        <w:tc>
          <w:tcPr>
            <w:tcW w:type="dxa" w:w="3096"/>
            <w:vAlign w:val="center"/>
          </w:tcPr>
          <w:p>
            <w:pPr>
              <w:spacing w:after="0"/>
            </w:pPr>
            <w:r/>
            <w:r>
              <w:rPr>
                <w:b w:val="0"/>
                <w:sz w:val="15"/>
              </w:rPr>
              <w:t>Temporal layer</w:t>
            </w:r>
          </w:p>
        </w:tc>
        <w:tc>
          <w:tcPr>
            <w:tcW w:type="dxa" w:w="5904"/>
            <w:vAlign w:val="center"/>
          </w:tcPr>
          <w:p>
            <w:pPr>
              <w:spacing w:after="0"/>
            </w:pPr>
            <w:r/>
            <w:r>
              <w:rPr>
                <w:b w:val="0"/>
                <w:sz w:val="15"/>
              </w:rPr>
              <w:t>declining trajectory label disappears while endpoint is unchanged</w:t>
            </w:r>
          </w:p>
        </w:tc>
        <w:tc>
          <w:tcPr>
            <w:tcW w:type="dxa" w:w="1080"/>
            <w:vAlign w:val="center"/>
          </w:tcPr>
          <w:p>
            <w:pPr>
              <w:spacing w:after="0"/>
            </w:pPr>
            <w:r/>
            <w:r>
              <w:rPr>
                <w:b w:val="0"/>
                <w:sz w:val="15"/>
              </w:rPr>
              <w:t>PASS</w:t>
            </w:r>
          </w:p>
        </w:tc>
      </w:tr>
      <w:tr>
        <w:tc>
          <w:tcPr>
            <w:tcW w:type="dxa" w:w="3096"/>
            <w:vAlign w:val="center"/>
          </w:tcPr>
          <w:p>
            <w:pPr>
              <w:spacing w:after="0"/>
            </w:pPr>
            <w:r/>
            <w:r>
              <w:rPr>
                <w:b w:val="0"/>
                <w:sz w:val="15"/>
              </w:rPr>
              <w:t>ProofChain/provenance</w:t>
            </w:r>
          </w:p>
        </w:tc>
        <w:tc>
          <w:tcPr>
            <w:tcW w:type="dxa" w:w="5904"/>
            <w:vAlign w:val="center"/>
          </w:tcPr>
          <w:p>
            <w:pPr>
              <w:spacing w:after="0"/>
            </w:pPr>
            <w:r/>
            <w:r>
              <w:rPr>
                <w:b w:val="0"/>
                <w:sz w:val="15"/>
              </w:rPr>
              <w:t>SHA-512 replay digest disappears; fixed-input verdict unchanged</w:t>
            </w:r>
          </w:p>
        </w:tc>
        <w:tc>
          <w:tcPr>
            <w:tcW w:type="dxa" w:w="1080"/>
            <w:vAlign w:val="center"/>
          </w:tcPr>
          <w:p>
            <w:pPr>
              <w:spacing w:after="0"/>
            </w:pPr>
            <w:r/>
            <w:r>
              <w:rPr>
                <w:b w:val="0"/>
                <w:sz w:val="15"/>
              </w:rPr>
              <w:t>PASS</w:t>
            </w:r>
          </w:p>
        </w:tc>
      </w:tr>
      <w:tr>
        <w:tc>
          <w:tcPr>
            <w:tcW w:type="dxa" w:w="3096"/>
            <w:vAlign w:val="center"/>
          </w:tcPr>
          <w:p>
            <w:pPr>
              <w:spacing w:after="0"/>
            </w:pPr>
            <w:r/>
            <w:r>
              <w:rPr>
                <w:b w:val="0"/>
                <w:sz w:val="15"/>
              </w:rPr>
              <w:t>Multi-AI/adversarial validation</w:t>
            </w:r>
          </w:p>
        </w:tc>
        <w:tc>
          <w:tcPr>
            <w:tcW w:type="dxa" w:w="5904"/>
            <w:vAlign w:val="center"/>
          </w:tcPr>
          <w:p>
            <w:pPr>
              <w:spacing w:after="0"/>
            </w:pPr>
            <w:r/>
            <w:r>
              <w:rPr>
                <w:b w:val="0"/>
                <w:sz w:val="15"/>
              </w:rPr>
              <w:t>heterogeneous validation coverage disappears; fixed-input verdict unchanged</w:t>
            </w:r>
          </w:p>
        </w:tc>
        <w:tc>
          <w:tcPr>
            <w:tcW w:type="dxa" w:w="1080"/>
            <w:vAlign w:val="center"/>
          </w:tcPr>
          <w:p>
            <w:pPr>
              <w:spacing w:after="0"/>
            </w:pPr>
            <w:r/>
            <w:r>
              <w:rPr>
                <w:b w:val="0"/>
                <w:sz w:val="15"/>
              </w:rPr>
              <w:t>PASS</w:t>
            </w:r>
          </w:p>
        </w:tc>
      </w:tr>
      <w:tr>
        <w:tc>
          <w:tcPr>
            <w:tcW w:type="dxa" w:w="3096"/>
            <w:vAlign w:val="center"/>
          </w:tcPr>
          <w:p>
            <w:pPr>
              <w:spacing w:after="0"/>
            </w:pPr>
            <w:r/>
            <w:r>
              <w:rPr>
                <w:b w:val="0"/>
                <w:sz w:val="15"/>
              </w:rPr>
              <w:t>Refusal/silence/NON_MESURÉ</w:t>
            </w:r>
          </w:p>
        </w:tc>
        <w:tc>
          <w:tcPr>
            <w:tcW w:type="dxa" w:w="5904"/>
            <w:vAlign w:val="center"/>
          </w:tcPr>
          <w:p>
            <w:pPr>
              <w:spacing w:after="0"/>
            </w:pPr>
            <w:r/>
            <w:r>
              <w:rPr>
                <w:b w:val="0"/>
                <w:sz w:val="15"/>
              </w:rPr>
              <w:t>missing required input changes from NON_MESURÉ to forced neutral imputation</w:t>
            </w:r>
          </w:p>
        </w:tc>
        <w:tc>
          <w:tcPr>
            <w:tcW w:type="dxa" w:w="1080"/>
            <w:vAlign w:val="center"/>
          </w:tcPr>
          <w:p>
            <w:pPr>
              <w:spacing w:after="0"/>
            </w:pPr>
            <w:r/>
            <w:r>
              <w:rPr>
                <w:b w:val="0"/>
                <w:sz w:val="15"/>
              </w:rPr>
              <w:t>PASS</w:t>
            </w:r>
          </w:p>
        </w:tc>
      </w:tr>
    </w:tbl>
    <w:p>
      <w:pPr>
        <w:spacing w:after="120"/>
      </w:pPr>
      <w:r>
        <w:t>Result — 6/6 executable ablation tests PASS. Harness SHA-512: 6ea4f5b53b6d54e3ae87b1b8d75671f2133e203ae470f337e9ba70a55fc2677eea4aa34bcdd3e96ec4cf4ce6c2ba7713db3fe7d5e47525f2affb969330bf8347.</w:t>
      </w:r>
    </w:p>
    <w:p>
      <w:pPr>
        <w:spacing w:after="120"/>
      </w:pPr>
      <w:r>
        <w:t>Interpretation — Four components (frames/proxies, non-compensation, temporal layer, refusal/NON_MESURÉ) change the decision/information object. ProofChain and multi-AI validation change auditability/evidence coverage on fixed inputs rather than the mathematical decision itself. Therefore the six-part conjunction is a system architecture, not one irreducible scalar law.</w:t>
      </w:r>
    </w:p>
    <w:p>
      <w:pPr>
        <w:spacing w:after="120"/>
      </w:pPr>
      <w:r>
        <w:t>Audit artefacts — pass9_executable_assembly_ablation.py and pass9_executable_assembly_ablation_results.json.</w:t>
      </w:r>
    </w:p>
    <w:p>
      <w:pPr>
        <w:sectPr>
          <w:headerReference w:type="default" r:id="rId22"/>
          <w:pgSz w:w="11909" w:h="16834"/>
          <w:pgMar w:top="936" w:right="1008" w:bottom="936" w:left="1008" w:header="720" w:footer="720" w:gutter="0"/>
          <w:cols w:space="720"/>
          <w:docGrid w:linePitch="360"/>
        </w:sectPr>
      </w:pPr>
    </w:p>
    <w:p>
      <w:pPr>
        <w:pStyle w:val="Heading1"/>
      </w:pPr>
      <w:r>
        <w:t>66. Fixed-conjunction prior-art search — final narrowing before Pass 10</w:t>
      </w:r>
    </w:p>
    <w:p>
      <w:pPr>
        <w:spacing w:after="120"/>
      </w:pPr>
      <w:r>
        <w:t>Search target is frozen and not modified in response to hits: declared frames/proxies + non-compensation/veto + temporal trajectory/debt + proof/provenance traceability + multi-agent or multi-model assurance/adversarial validation + refusal/abstention/unknown. The table records strong neighboring lineages, not semantic equivalence to Zoran.</w:t>
      </w:r>
    </w:p>
    <w:tbl>
      <w:tblPr>
        <w:tblStyle w:val="TableGrid"/>
        <w:tblW w:type="auto" w:w="0"/>
        <w:jc w:val="center"/>
        <w:tblLook w:firstColumn="1" w:firstRow="1" w:lastColumn="0" w:lastRow="0" w:noHBand="0" w:noVBand="1" w:val="04A0"/>
      </w:tblPr>
      <w:tblGrid>
        <w:gridCol w:w="3812"/>
        <w:gridCol w:w="3812"/>
        <w:gridCol w:w="3812"/>
        <w:gridCol w:w="3812"/>
      </w:tblGrid>
      <w:tr>
        <w:trPr>
          <w:tblHeader w:val="true"/>
        </w:trPr>
        <w:tc>
          <w:tcPr>
            <w:tcW w:type="dxa" w:w="3240"/>
            <w:vAlign w:val="center"/>
            <w:shd w:fill="D9EAF7"/>
          </w:tcPr>
          <w:p>
            <w:pPr>
              <w:spacing w:after="0"/>
            </w:pPr>
            <w:r/>
            <w:r>
              <w:rPr>
                <w:b/>
                <w:sz w:val="14"/>
              </w:rPr>
              <w:t>Earlier lineage</w:t>
            </w:r>
          </w:p>
        </w:tc>
        <w:tc>
          <w:tcPr>
            <w:tcW w:type="dxa" w:w="1440"/>
            <w:vAlign w:val="center"/>
            <w:shd w:fill="D9EAF7"/>
          </w:tcPr>
          <w:p>
            <w:pPr>
              <w:spacing w:after="0"/>
            </w:pPr>
            <w:r/>
            <w:r>
              <w:rPr>
                <w:b/>
                <w:sz w:val="14"/>
              </w:rPr>
              <w:t>Date floor used</w:t>
            </w:r>
          </w:p>
        </w:tc>
        <w:tc>
          <w:tcPr>
            <w:tcW w:type="dxa" w:w="6552"/>
            <w:vAlign w:val="center"/>
            <w:shd w:fill="D9EAF7"/>
          </w:tcPr>
          <w:p>
            <w:pPr>
              <w:spacing w:after="0"/>
            </w:pPr>
            <w:r/>
            <w:r>
              <w:rPr>
                <w:b/>
                <w:sz w:val="14"/>
              </w:rPr>
              <w:t>Functions overlapping the fixed target</w:t>
            </w:r>
          </w:p>
        </w:tc>
        <w:tc>
          <w:tcPr>
            <w:tcW w:type="dxa" w:w="3096"/>
            <w:vAlign w:val="center"/>
            <w:shd w:fill="D9EAF7"/>
          </w:tcPr>
          <w:p>
            <w:pPr>
              <w:spacing w:after="0"/>
            </w:pPr>
            <w:r/>
            <w:r>
              <w:rPr>
                <w:b/>
                <w:sz w:val="14"/>
              </w:rPr>
              <w:t>Implication</w:t>
            </w:r>
          </w:p>
        </w:tc>
      </w:tr>
      <w:tr>
        <w:tc>
          <w:tcPr>
            <w:tcW w:type="dxa" w:w="3240"/>
            <w:vAlign w:val="center"/>
          </w:tcPr>
          <w:p>
            <w:pPr>
              <w:spacing w:after="0"/>
            </w:pPr>
            <w:r/>
            <w:r>
              <w:rPr>
                <w:b w:val="0"/>
                <w:sz w:val="14"/>
              </w:rPr>
              <w:t>ELECTRE / outranking</w:t>
            </w:r>
          </w:p>
        </w:tc>
        <w:tc>
          <w:tcPr>
            <w:tcW w:type="dxa" w:w="1440"/>
            <w:vAlign w:val="center"/>
          </w:tcPr>
          <w:p>
            <w:pPr>
              <w:spacing w:after="0"/>
            </w:pPr>
            <w:r/>
            <w:r>
              <w:rPr>
                <w:b w:val="0"/>
                <w:sz w:val="14"/>
              </w:rPr>
              <w:t>1968+</w:t>
            </w:r>
          </w:p>
        </w:tc>
        <w:tc>
          <w:tcPr>
            <w:tcW w:type="dxa" w:w="6552"/>
            <w:vAlign w:val="center"/>
          </w:tcPr>
          <w:p>
            <w:pPr>
              <w:spacing w:after="0"/>
            </w:pPr>
            <w:r/>
            <w:r>
              <w:rPr>
                <w:b w:val="0"/>
                <w:sz w:val="14"/>
              </w:rPr>
              <w:t>non-compensation, discordance, veto thresholds</w:t>
            </w:r>
          </w:p>
        </w:tc>
        <w:tc>
          <w:tcPr>
            <w:tcW w:type="dxa" w:w="3096"/>
            <w:vAlign w:val="center"/>
          </w:tcPr>
          <w:p>
            <w:pPr>
              <w:spacing w:after="0"/>
            </w:pPr>
            <w:r/>
            <w:r>
              <w:rPr>
                <w:b w:val="0"/>
                <w:sz w:val="14"/>
              </w:rPr>
              <w:t>generic critical-criterion veto is old prior art</w:t>
            </w:r>
          </w:p>
        </w:tc>
      </w:tr>
      <w:tr>
        <w:tc>
          <w:tcPr>
            <w:tcW w:type="dxa" w:w="3240"/>
            <w:vAlign w:val="center"/>
          </w:tcPr>
          <w:p>
            <w:pPr>
              <w:spacing w:after="0"/>
            </w:pPr>
            <w:r/>
            <w:r>
              <w:rPr>
                <w:b w:val="0"/>
                <w:sz w:val="14"/>
              </w:rPr>
              <w:t>Reject option / selective prediction</w:t>
            </w:r>
          </w:p>
        </w:tc>
        <w:tc>
          <w:tcPr>
            <w:tcW w:type="dxa" w:w="1440"/>
            <w:vAlign w:val="center"/>
          </w:tcPr>
          <w:p>
            <w:pPr>
              <w:spacing w:after="0"/>
            </w:pPr>
            <w:r/>
            <w:r>
              <w:rPr>
                <w:b w:val="0"/>
                <w:sz w:val="14"/>
              </w:rPr>
              <w:t>1970+</w:t>
            </w:r>
          </w:p>
        </w:tc>
        <w:tc>
          <w:tcPr>
            <w:tcW w:type="dxa" w:w="6552"/>
            <w:vAlign w:val="center"/>
          </w:tcPr>
          <w:p>
            <w:pPr>
              <w:spacing w:after="0"/>
            </w:pPr>
            <w:r/>
            <w:r>
              <w:rPr>
                <w:b w:val="0"/>
                <w:sz w:val="14"/>
              </w:rPr>
              <w:t>abstention / withhold decision</w:t>
            </w:r>
          </w:p>
        </w:tc>
        <w:tc>
          <w:tcPr>
            <w:tcW w:type="dxa" w:w="3096"/>
            <w:vAlign w:val="center"/>
          </w:tcPr>
          <w:p>
            <w:pPr>
              <w:spacing w:after="0"/>
            </w:pPr>
            <w:r/>
            <w:r>
              <w:rPr>
                <w:b w:val="0"/>
                <w:sz w:val="14"/>
              </w:rPr>
              <w:t>generic refusal under uncertainty is old prior art</w:t>
            </w:r>
          </w:p>
        </w:tc>
      </w:tr>
      <w:tr>
        <w:tc>
          <w:tcPr>
            <w:tcW w:type="dxa" w:w="3240"/>
            <w:vAlign w:val="center"/>
          </w:tcPr>
          <w:p>
            <w:pPr>
              <w:spacing w:after="0"/>
            </w:pPr>
            <w:r/>
            <w:r>
              <w:rPr>
                <w:b w:val="0"/>
                <w:sz w:val="14"/>
              </w:rPr>
              <w:t>Simplex runtime assurance</w:t>
            </w:r>
          </w:p>
        </w:tc>
        <w:tc>
          <w:tcPr>
            <w:tcW w:type="dxa" w:w="1440"/>
            <w:vAlign w:val="center"/>
          </w:tcPr>
          <w:p>
            <w:pPr>
              <w:spacing w:after="0"/>
            </w:pPr>
            <w:r/>
            <w:r>
              <w:rPr>
                <w:b w:val="0"/>
                <w:sz w:val="14"/>
              </w:rPr>
              <w:t>1998+</w:t>
            </w:r>
          </w:p>
        </w:tc>
        <w:tc>
          <w:tcPr>
            <w:tcW w:type="dxa" w:w="6552"/>
            <w:vAlign w:val="center"/>
          </w:tcPr>
          <w:p>
            <w:pPr>
              <w:spacing w:after="0"/>
            </w:pPr>
            <w:r/>
            <w:r>
              <w:rPr>
                <w:b w:val="0"/>
                <w:sz w:val="14"/>
              </w:rPr>
              <w:t>runtime monitor, verified fallback, safety switching</w:t>
            </w:r>
          </w:p>
        </w:tc>
        <w:tc>
          <w:tcPr>
            <w:tcW w:type="dxa" w:w="3096"/>
            <w:vAlign w:val="center"/>
          </w:tcPr>
          <w:p>
            <w:pPr>
              <w:spacing w:after="0"/>
            </w:pPr>
            <w:r/>
            <w:r>
              <w:rPr>
                <w:b w:val="0"/>
                <w:sz w:val="14"/>
              </w:rPr>
              <w:t>generic external assurance envelope predates Zoran</w:t>
            </w:r>
          </w:p>
        </w:tc>
      </w:tr>
      <w:tr>
        <w:tc>
          <w:tcPr>
            <w:tcW w:type="dxa" w:w="3240"/>
            <w:vAlign w:val="center"/>
          </w:tcPr>
          <w:p>
            <w:pPr>
              <w:spacing w:after="0"/>
            </w:pPr>
            <w:r/>
            <w:r>
              <w:rPr>
                <w:b w:val="0"/>
                <w:sz w:val="14"/>
              </w:rPr>
              <w:t>W3C PROV-O</w:t>
            </w:r>
          </w:p>
        </w:tc>
        <w:tc>
          <w:tcPr>
            <w:tcW w:type="dxa" w:w="1440"/>
            <w:vAlign w:val="center"/>
          </w:tcPr>
          <w:p>
            <w:pPr>
              <w:spacing w:after="0"/>
            </w:pPr>
            <w:r/>
            <w:r>
              <w:rPr>
                <w:b w:val="0"/>
                <w:sz w:val="14"/>
              </w:rPr>
              <w:t>2013</w:t>
            </w:r>
          </w:p>
        </w:tc>
        <w:tc>
          <w:tcPr>
            <w:tcW w:type="dxa" w:w="6552"/>
            <w:vAlign w:val="center"/>
          </w:tcPr>
          <w:p>
            <w:pPr>
              <w:spacing w:after="0"/>
            </w:pPr>
            <w:r/>
            <w:r>
              <w:rPr>
                <w:b w:val="0"/>
                <w:sz w:val="14"/>
              </w:rPr>
              <w:t>interoperable machine-readable provenance</w:t>
            </w:r>
          </w:p>
        </w:tc>
        <w:tc>
          <w:tcPr>
            <w:tcW w:type="dxa" w:w="3096"/>
            <w:vAlign w:val="center"/>
          </w:tcPr>
          <w:p>
            <w:pPr>
              <w:spacing w:after="0"/>
            </w:pPr>
            <w:r/>
            <w:r>
              <w:rPr>
                <w:b w:val="0"/>
                <w:sz w:val="14"/>
              </w:rPr>
              <w:t>generic ProofChain/provenance function predates Zoran</w:t>
            </w:r>
          </w:p>
        </w:tc>
      </w:tr>
      <w:tr>
        <w:tc>
          <w:tcPr>
            <w:tcW w:type="dxa" w:w="3240"/>
            <w:vAlign w:val="center"/>
          </w:tcPr>
          <w:p>
            <w:pPr>
              <w:spacing w:after="0"/>
            </w:pPr>
            <w:r/>
            <w:r>
              <w:rPr>
                <w:b w:val="0"/>
                <w:sz w:val="14"/>
              </w:rPr>
              <w:t>Monitor-based RTA for LTL</w:t>
            </w:r>
          </w:p>
        </w:tc>
        <w:tc>
          <w:tcPr>
            <w:tcW w:type="dxa" w:w="1440"/>
            <w:vAlign w:val="center"/>
          </w:tcPr>
          <w:p>
            <w:pPr>
              <w:spacing w:after="0"/>
            </w:pPr>
            <w:r/>
            <w:r>
              <w:rPr>
                <w:b w:val="0"/>
                <w:sz w:val="14"/>
              </w:rPr>
              <w:t>2019</w:t>
            </w:r>
          </w:p>
        </w:tc>
        <w:tc>
          <w:tcPr>
            <w:tcW w:type="dxa" w:w="6552"/>
            <w:vAlign w:val="center"/>
          </w:tcPr>
          <w:p>
            <w:pPr>
              <w:spacing w:after="0"/>
            </w:pPr>
            <w:r/>
            <w:r>
              <w:rPr>
                <w:b w:val="0"/>
                <w:sz w:val="14"/>
              </w:rPr>
              <w:t>future-trajectory monitoring; bad-prefix detection; safe control</w:t>
            </w:r>
          </w:p>
        </w:tc>
        <w:tc>
          <w:tcPr>
            <w:tcW w:type="dxa" w:w="3096"/>
            <w:vAlign w:val="center"/>
          </w:tcPr>
          <w:p>
            <w:pPr>
              <w:spacing w:after="0"/>
            </w:pPr>
            <w:r/>
            <w:r>
              <w:rPr>
                <w:b w:val="0"/>
                <w:sz w:val="14"/>
              </w:rPr>
              <w:t>temporal/future-state assurance predates Zoran</w:t>
            </w:r>
          </w:p>
        </w:tc>
      </w:tr>
      <w:tr>
        <w:tc>
          <w:tcPr>
            <w:tcW w:type="dxa" w:w="3240"/>
            <w:vAlign w:val="center"/>
          </w:tcPr>
          <w:p>
            <w:pPr>
              <w:spacing w:after="0"/>
            </w:pPr>
            <w:r/>
            <w:r>
              <w:rPr>
                <w:b w:val="0"/>
                <w:sz w:val="14"/>
              </w:rPr>
              <w:t>Distributed Simplex Architecture</w:t>
            </w:r>
          </w:p>
        </w:tc>
        <w:tc>
          <w:tcPr>
            <w:tcW w:type="dxa" w:w="1440"/>
            <w:vAlign w:val="center"/>
          </w:tcPr>
          <w:p>
            <w:pPr>
              <w:spacing w:after="0"/>
            </w:pPr>
            <w:r/>
            <w:r>
              <w:rPr>
                <w:b w:val="0"/>
                <w:sz w:val="14"/>
              </w:rPr>
              <w:t>2020</w:t>
            </w:r>
          </w:p>
        </w:tc>
        <w:tc>
          <w:tcPr>
            <w:tcW w:type="dxa" w:w="6552"/>
            <w:vAlign w:val="center"/>
          </w:tcPr>
          <w:p>
            <w:pPr>
              <w:spacing w:after="0"/>
            </w:pPr>
            <w:r/>
            <w:r>
              <w:rPr>
                <w:b w:val="0"/>
                <w:sz w:val="14"/>
              </w:rPr>
              <w:t>distributed multi-agent runtime assurance</w:t>
            </w:r>
          </w:p>
        </w:tc>
        <w:tc>
          <w:tcPr>
            <w:tcW w:type="dxa" w:w="3096"/>
            <w:vAlign w:val="center"/>
          </w:tcPr>
          <w:p>
            <w:pPr>
              <w:spacing w:after="0"/>
            </w:pPr>
            <w:r/>
            <w:r>
              <w:rPr>
                <w:b w:val="0"/>
                <w:sz w:val="14"/>
              </w:rPr>
              <w:t>multi-agent assurance predates Zoran</w:t>
            </w:r>
          </w:p>
        </w:tc>
      </w:tr>
      <w:tr>
        <w:tc>
          <w:tcPr>
            <w:tcW w:type="dxa" w:w="3240"/>
            <w:vAlign w:val="center"/>
          </w:tcPr>
          <w:p>
            <w:pPr>
              <w:spacing w:after="0"/>
            </w:pPr>
            <w:r/>
            <w:r>
              <w:rPr>
                <w:b w:val="0"/>
                <w:sz w:val="14"/>
              </w:rPr>
              <w:t>Dynamic assurance cases / NASA</w:t>
            </w:r>
          </w:p>
        </w:tc>
        <w:tc>
          <w:tcPr>
            <w:tcW w:type="dxa" w:w="1440"/>
            <w:vAlign w:val="center"/>
          </w:tcPr>
          <w:p>
            <w:pPr>
              <w:spacing w:after="0"/>
            </w:pPr>
            <w:r/>
            <w:r>
              <w:rPr>
                <w:b w:val="0"/>
                <w:sz w:val="14"/>
              </w:rPr>
              <w:t>2023–2024</w:t>
            </w:r>
          </w:p>
        </w:tc>
        <w:tc>
          <w:tcPr>
            <w:tcW w:type="dxa" w:w="6552"/>
            <w:vAlign w:val="center"/>
          </w:tcPr>
          <w:p>
            <w:pPr>
              <w:spacing w:after="0"/>
            </w:pPr>
            <w:r/>
            <w:r>
              <w:rPr>
                <w:b w:val="0"/>
                <w:sz w:val="14"/>
              </w:rPr>
              <w:t>runtime quantitative evidence, formal requirements, monitors, evolving assurance cases</w:t>
            </w:r>
          </w:p>
        </w:tc>
        <w:tc>
          <w:tcPr>
            <w:tcW w:type="dxa" w:w="3096"/>
            <w:vAlign w:val="center"/>
          </w:tcPr>
          <w:p>
            <w:pPr>
              <w:spacing w:after="0"/>
            </w:pPr>
            <w:r/>
            <w:r>
              <w:rPr>
                <w:b w:val="0"/>
                <w:sz w:val="14"/>
              </w:rPr>
              <w:t>joins temporal monitoring with traceable assurance evidence before Zoran</w:t>
            </w:r>
          </w:p>
        </w:tc>
      </w:tr>
      <w:tr>
        <w:tc>
          <w:tcPr>
            <w:tcW w:type="dxa" w:w="3240"/>
            <w:vAlign w:val="center"/>
          </w:tcPr>
          <w:p>
            <w:pPr>
              <w:spacing w:after="0"/>
            </w:pPr>
            <w:r/>
            <w:r>
              <w:rPr>
                <w:b w:val="0"/>
                <w:sz w:val="14"/>
              </w:rPr>
              <w:t>Zoran fixed conjunction</w:t>
            </w:r>
          </w:p>
        </w:tc>
        <w:tc>
          <w:tcPr>
            <w:tcW w:type="dxa" w:w="1440"/>
            <w:vAlign w:val="center"/>
          </w:tcPr>
          <w:p>
            <w:pPr>
              <w:spacing w:after="0"/>
            </w:pPr>
            <w:r/>
            <w:r>
              <w:rPr>
                <w:b w:val="0"/>
                <w:sz w:val="14"/>
              </w:rPr>
              <w:t>Nov 2025 onward</w:t>
            </w:r>
          </w:p>
        </w:tc>
        <w:tc>
          <w:tcPr>
            <w:tcW w:type="dxa" w:w="6552"/>
            <w:vAlign w:val="center"/>
          </w:tcPr>
          <w:p>
            <w:pPr>
              <w:spacing w:after="0"/>
            </w:pPr>
            <w:r/>
            <w:r>
              <w:rPr>
                <w:b w:val="0"/>
                <w:sz w:val="14"/>
              </w:rPr>
              <w:t>all six under Zoran coherence/admissibility semantics</w:t>
            </w:r>
          </w:p>
        </w:tc>
        <w:tc>
          <w:tcPr>
            <w:tcW w:type="dxa" w:w="3096"/>
            <w:vAlign w:val="center"/>
          </w:tcPr>
          <w:p>
            <w:pPr>
              <w:spacing w:after="0"/>
            </w:pPr>
            <w:r/>
            <w:r>
              <w:rPr>
                <w:b w:val="0"/>
                <w:sz w:val="14"/>
              </w:rPr>
              <w:t>exact one-to-one earlier implementation NOT CERTIFIED; world-first NOT ESTABLISHED</w:t>
            </w:r>
          </w:p>
        </w:tc>
      </w:tr>
    </w:tbl>
    <w:p>
      <w:pPr>
        <w:spacing w:after="120"/>
      </w:pPr>
      <w:r>
        <w:t>Pass-9 conclusion — The novelty space becomes narrower, not broader. Every major function has older prior art, and several pre-2025 assurance architectures already combine multiple functions. The bounded search still did not certify one source implementing the exact six-term conjunction under the same semantics. That negative search result is insufficient for a world-first claim and is retained as OPEN / NOT ESTABLISHED.</w:t>
      </w:r>
    </w:p>
    <w:p>
      <w:pPr>
        <w:spacing w:after="120"/>
      </w:pPr>
      <w:r>
        <w:t>Key prior-art anchors: Sha et al. Simplex lineage (1998); W3C PROV-O Recommendation (30 Apr 2013); Abate, Feron &amp; Coogan, Monitor-Based Runtime Assurance for Temporal Logic Specifications (arXiv:1908.03284, 2019); Mehmood et al., A Distributed Simplex Architecture for Multi-Agent Systems (arXiv:2012.10153, 2020; Journal of Systems Architecture 134, 2023); NASA Dynamic Assurance of Autonomous Systems through Ground Control Software (2024).</w:t>
      </w:r>
    </w:p>
    <w:p>
      <w:pPr>
        <w:sectPr>
          <w:headerReference w:type="default" r:id="rId23"/>
          <w:pgSz w:w="16834" w:h="11909" w:orient="landscape"/>
          <w:pgMar w:top="792" w:right="792" w:bottom="792" w:left="792" w:header="720" w:footer="720" w:gutter="0"/>
          <w:cols w:space="720"/>
          <w:docGrid w:linePitch="360"/>
        </w:sectPr>
      </w:pPr>
    </w:p>
    <w:p>
      <w:pPr>
        <w:pStyle w:val="Heading1"/>
      </w:pPr>
      <w:r>
        <w:t>67. Metadata and licence authority gate — Pass 9</w:t>
      </w:r>
    </w:p>
    <w:tbl>
      <w:tblPr>
        <w:tblStyle w:val="TableGrid"/>
        <w:tblW w:type="auto" w:w="0"/>
        <w:jc w:val="center"/>
        <w:tblLook w:firstColumn="1" w:firstRow="1" w:lastColumn="0" w:lastRow="0" w:noHBand="0" w:noVBand="1" w:val="04A0"/>
      </w:tblPr>
      <w:tblGrid>
        <w:gridCol w:w="2473"/>
        <w:gridCol w:w="2473"/>
        <w:gridCol w:w="2473"/>
        <w:gridCol w:w="2473"/>
      </w:tblGrid>
      <w:tr>
        <w:trPr>
          <w:tblHeader w:val="true"/>
        </w:trPr>
        <w:tc>
          <w:tcPr>
            <w:tcW w:type="dxa" w:w="1728"/>
            <w:vAlign w:val="center"/>
            <w:shd w:fill="D9EAF7"/>
          </w:tcPr>
          <w:p>
            <w:pPr>
              <w:spacing w:after="0"/>
            </w:pPr>
            <w:r/>
            <w:r>
              <w:rPr>
                <w:b/>
                <w:sz w:val="15"/>
              </w:rPr>
              <w:t>Record</w:t>
            </w:r>
          </w:p>
        </w:tc>
        <w:tc>
          <w:tcPr>
            <w:tcW w:type="dxa" w:w="4824"/>
            <w:vAlign w:val="center"/>
            <w:shd w:fill="D9EAF7"/>
          </w:tcPr>
          <w:p>
            <w:pPr>
              <w:spacing w:after="0"/>
            </w:pPr>
            <w:r/>
            <w:r>
              <w:rPr>
                <w:b/>
                <w:sz w:val="15"/>
              </w:rPr>
              <w:t>Evidence now available</w:t>
            </w:r>
          </w:p>
        </w:tc>
        <w:tc>
          <w:tcPr>
            <w:tcW w:type="dxa" w:w="2592"/>
            <w:vAlign w:val="center"/>
            <w:shd w:fill="D9EAF7"/>
          </w:tcPr>
          <w:p>
            <w:pPr>
              <w:spacing w:after="0"/>
            </w:pPr>
            <w:r/>
            <w:r>
              <w:rPr>
                <w:b/>
                <w:sz w:val="15"/>
              </w:rPr>
              <w:t>Pass-9 verdict</w:t>
            </w:r>
          </w:p>
        </w:tc>
        <w:tc>
          <w:tcPr>
            <w:tcW w:type="dxa" w:w="3240"/>
            <w:vAlign w:val="center"/>
            <w:shd w:fill="D9EAF7"/>
          </w:tcPr>
          <w:p>
            <w:pPr>
              <w:spacing w:after="0"/>
            </w:pPr>
            <w:r/>
            <w:r>
              <w:rPr>
                <w:b/>
                <w:sz w:val="15"/>
              </w:rPr>
              <w:t>Scholar/reuse action</w:t>
            </w:r>
          </w:p>
        </w:tc>
      </w:tr>
      <w:tr>
        <w:tc>
          <w:tcPr>
            <w:tcW w:type="dxa" w:w="1728"/>
            <w:vAlign w:val="center"/>
          </w:tcPr>
          <w:p>
            <w:pPr>
              <w:spacing w:after="0"/>
            </w:pPr>
            <w:r/>
            <w:r>
              <w:rPr>
                <w:b w:val="0"/>
                <w:sz w:val="15"/>
              </w:rPr>
              <w:t>18526755</w:t>
            </w:r>
          </w:p>
        </w:tc>
        <w:tc>
          <w:tcPr>
            <w:tcW w:type="dxa" w:w="4824"/>
            <w:vAlign w:val="center"/>
          </w:tcPr>
          <w:p>
            <w:pPr>
              <w:spacing w:after="0"/>
            </w:pPr>
            <w:r/>
            <w:r>
              <w:rPr>
                <w:b w:val="0"/>
                <w:sz w:val="15"/>
              </w:rPr>
              <w:t>Zoran Atlas currently labels the DOI “Tenseur d’Amari-Chentsov et saturation MCP”; public social posts also use the same DOI for “Loi de cohérence phénoménale — démonstration complète par applications”.</w:t>
            </w:r>
          </w:p>
        </w:tc>
        <w:tc>
          <w:tcPr>
            <w:tcW w:type="dxa" w:w="2592"/>
            <w:vAlign w:val="center"/>
          </w:tcPr>
          <w:p>
            <w:pPr>
              <w:spacing w:after="0"/>
            </w:pPr>
            <w:r/>
            <w:r>
              <w:rPr>
                <w:b w:val="0"/>
                <w:sz w:val="15"/>
              </w:rPr>
              <w:t>CONFLICT PUBLICLY CONFIRMED; AUTHORITY NOT RECONCILED</w:t>
            </w:r>
          </w:p>
        </w:tc>
        <w:tc>
          <w:tcPr>
            <w:tcW w:type="dxa" w:w="3240"/>
            <w:vAlign w:val="center"/>
          </w:tcPr>
          <w:p>
            <w:pPr>
              <w:spacing w:after="0"/>
            </w:pPr>
            <w:r/>
            <w:r>
              <w:rPr>
                <w:b w:val="0"/>
                <w:sz w:val="15"/>
              </w:rPr>
              <w:t>BLOCK as canonical Scholar anchor until Zenodo/DataCite authority is verified and mirror/citations are corrected.</w:t>
            </w:r>
          </w:p>
        </w:tc>
      </w:tr>
      <w:tr>
        <w:tc>
          <w:tcPr>
            <w:tcW w:type="dxa" w:w="1728"/>
            <w:vAlign w:val="center"/>
          </w:tcPr>
          <w:p>
            <w:pPr>
              <w:spacing w:after="0"/>
            </w:pPr>
            <w:r/>
            <w:r>
              <w:rPr>
                <w:b w:val="0"/>
                <w:sz w:val="15"/>
              </w:rPr>
              <w:t>18499943</w:t>
            </w:r>
          </w:p>
        </w:tc>
        <w:tc>
          <w:tcPr>
            <w:tcW w:type="dxa" w:w="4824"/>
            <w:vAlign w:val="center"/>
          </w:tcPr>
          <w:p>
            <w:pPr>
              <w:spacing w:after="0"/>
            </w:pPr>
            <w:r/>
            <w:r>
              <w:rPr>
                <w:b w:val="0"/>
                <w:sz w:val="15"/>
              </w:rPr>
              <w:t>Pass-8 authoritative check: Zenodo Rights field = CC BY 4.0; embedded document also states Creative-Ethic BY/BY-PRO conditions.</w:t>
            </w:r>
          </w:p>
        </w:tc>
        <w:tc>
          <w:tcPr>
            <w:tcW w:type="dxa" w:w="2592"/>
            <w:vAlign w:val="center"/>
          </w:tcPr>
          <w:p>
            <w:pPr>
              <w:spacing w:after="0"/>
            </w:pPr>
            <w:r/>
            <w:r>
              <w:rPr>
                <w:b w:val="0"/>
                <w:sz w:val="15"/>
              </w:rPr>
              <w:t>METADATA/TEXT LICENCE CONFLICT</w:t>
            </w:r>
          </w:p>
        </w:tc>
        <w:tc>
          <w:tcPr>
            <w:tcW w:type="dxa" w:w="3240"/>
            <w:vAlign w:val="center"/>
          </w:tcPr>
          <w:p>
            <w:pPr>
              <w:spacing w:after="0"/>
            </w:pPr>
            <w:r/>
            <w:r>
              <w:rPr>
                <w:b w:val="0"/>
                <w:sz w:val="15"/>
              </w:rPr>
              <w:t>Treat repository metadata and internal licence wording as inconsistent; require corrected version or explicit licence clarification before reuse claims.</w:t>
            </w:r>
          </w:p>
        </w:tc>
      </w:tr>
      <w:tr>
        <w:tc>
          <w:tcPr>
            <w:tcW w:type="dxa" w:w="1728"/>
            <w:vAlign w:val="center"/>
          </w:tcPr>
          <w:p>
            <w:pPr>
              <w:spacing w:after="0"/>
            </w:pPr>
            <w:r/>
            <w:r>
              <w:rPr>
                <w:b w:val="0"/>
                <w:sz w:val="15"/>
              </w:rPr>
              <w:t>ORCID</w:t>
            </w:r>
          </w:p>
        </w:tc>
        <w:tc>
          <w:tcPr>
            <w:tcW w:type="dxa" w:w="4824"/>
            <w:vAlign w:val="center"/>
          </w:tcPr>
          <w:p>
            <w:pPr>
              <w:spacing w:after="0"/>
            </w:pPr>
            <w:r/>
            <w:r>
              <w:rPr>
                <w:b w:val="0"/>
                <w:sz w:val="15"/>
              </w:rPr>
              <w:t>0009-0004-5562-7385 supplied as author identifier for final edition.</w:t>
            </w:r>
          </w:p>
        </w:tc>
        <w:tc>
          <w:tcPr>
            <w:tcW w:type="dxa" w:w="2592"/>
            <w:vAlign w:val="center"/>
          </w:tcPr>
          <w:p>
            <w:pPr>
              <w:spacing w:after="0"/>
            </w:pPr>
            <w:r/>
            <w:r>
              <w:rPr>
                <w:b w:val="0"/>
                <w:sz w:val="15"/>
              </w:rPr>
              <w:t>AVAILABLE</w:t>
            </w:r>
          </w:p>
        </w:tc>
        <w:tc>
          <w:tcPr>
            <w:tcW w:type="dxa" w:w="3240"/>
            <w:vAlign w:val="center"/>
          </w:tcPr>
          <w:p>
            <w:pPr>
              <w:spacing w:after="0"/>
            </w:pPr>
            <w:r/>
            <w:r>
              <w:rPr>
                <w:b w:val="0"/>
                <w:sz w:val="15"/>
              </w:rPr>
              <w:t>Ensure exact author name, DOI titles and dates match ORCID/DataCite/Zenodo before final submission.</w:t>
            </w:r>
          </w:p>
        </w:tc>
      </w:tr>
    </w:tbl>
    <w:p>
      <w:pPr>
        <w:spacing w:after="120"/>
      </w:pPr>
      <w:r>
        <w:t>Indexing rule — Google Scholar metadata cannot repair a source-identity contradiction. The final landing page must mirror the authoritative DOI metadata rather than invent an internally preferred title/date. If authority cannot be resolved by Pass 10, the conflicted record remains cited as a disputed cross-reference rather than a canonical anchor.</w:t>
      </w:r>
    </w:p>
    <w:p>
      <w:pPr>
        <w:pStyle w:val="Heading1"/>
      </w:pPr>
      <w:r>
        <w:t>68. Pre-publication Scholar readiness matrix after Pass 9</w:t>
      </w:r>
    </w:p>
    <w:tbl>
      <w:tblPr>
        <w:tblStyle w:val="TableGrid"/>
        <w:tblW w:type="auto" w:w="0"/>
        <w:jc w:val="center"/>
        <w:tblLook w:firstColumn="1" w:firstRow="1" w:lastColumn="0" w:lastRow="0" w:noHBand="0" w:noVBand="1" w:val="04A0"/>
      </w:tblPr>
      <w:tblGrid>
        <w:gridCol w:w="3298"/>
        <w:gridCol w:w="3298"/>
        <w:gridCol w:w="3298"/>
      </w:tblGrid>
      <w:tr>
        <w:trPr>
          <w:tblHeader w:val="true"/>
        </w:trPr>
        <w:tc>
          <w:tcPr>
            <w:tcW w:type="dxa" w:w="4752"/>
            <w:vAlign w:val="center"/>
            <w:shd w:fill="D9EAF7"/>
          </w:tcPr>
          <w:p>
            <w:pPr>
              <w:spacing w:after="0"/>
            </w:pPr>
            <w:r/>
            <w:r>
              <w:rPr>
                <w:b/>
                <w:sz w:val="16"/>
              </w:rPr>
              <w:t>Gate</w:t>
            </w:r>
          </w:p>
        </w:tc>
        <w:tc>
          <w:tcPr>
            <w:tcW w:type="dxa" w:w="3744"/>
            <w:vAlign w:val="center"/>
            <w:shd w:fill="D9EAF7"/>
          </w:tcPr>
          <w:p>
            <w:pPr>
              <w:spacing w:after="0"/>
            </w:pPr>
            <w:r/>
            <w:r>
              <w:rPr>
                <w:b/>
                <w:sz w:val="16"/>
              </w:rPr>
              <w:t>Status</w:t>
            </w:r>
          </w:p>
        </w:tc>
        <w:tc>
          <w:tcPr>
            <w:tcW w:type="dxa" w:w="1440"/>
            <w:vAlign w:val="center"/>
            <w:shd w:fill="D9EAF7"/>
          </w:tcPr>
          <w:p>
            <w:pPr>
              <w:spacing w:after="0"/>
            </w:pPr>
            <w:r/>
            <w:r>
              <w:rPr>
                <w:b/>
                <w:sz w:val="16"/>
              </w:rPr>
              <w:t>Blocking?</w:t>
            </w:r>
          </w:p>
        </w:tc>
      </w:tr>
      <w:tr>
        <w:tc>
          <w:tcPr>
            <w:tcW w:type="dxa" w:w="4752"/>
            <w:vAlign w:val="center"/>
          </w:tcPr>
          <w:p>
            <w:pPr>
              <w:spacing w:after="0"/>
            </w:pPr>
            <w:r/>
            <w:r>
              <w:rPr>
                <w:b w:val="0"/>
                <w:sz w:val="16"/>
              </w:rPr>
              <w:t>Six-language title / localized summaries</w:t>
            </w:r>
          </w:p>
        </w:tc>
        <w:tc>
          <w:tcPr>
            <w:tcW w:type="dxa" w:w="3744"/>
            <w:vAlign w:val="center"/>
          </w:tcPr>
          <w:p>
            <w:pPr>
              <w:spacing w:after="0"/>
            </w:pPr>
            <w:r/>
            <w:r>
              <w:rPr>
                <w:b w:val="0"/>
                <w:sz w:val="16"/>
              </w:rPr>
              <w:t>PASS</w:t>
            </w:r>
          </w:p>
        </w:tc>
        <w:tc>
          <w:tcPr>
            <w:tcW w:type="dxa" w:w="1440"/>
            <w:vAlign w:val="center"/>
          </w:tcPr>
          <w:p>
            <w:pPr>
              <w:spacing w:after="0"/>
            </w:pPr>
            <w:r/>
            <w:r>
              <w:rPr>
                <w:b w:val="0"/>
                <w:sz w:val="16"/>
              </w:rPr>
              <w:t>No</w:t>
            </w:r>
          </w:p>
        </w:tc>
      </w:tr>
      <w:tr>
        <w:tc>
          <w:tcPr>
            <w:tcW w:type="dxa" w:w="4752"/>
            <w:vAlign w:val="center"/>
          </w:tcPr>
          <w:p>
            <w:pPr>
              <w:spacing w:after="0"/>
            </w:pPr>
            <w:r/>
            <w:r>
              <w:rPr>
                <w:b w:val="0"/>
                <w:sz w:val="16"/>
              </w:rPr>
              <w:t>Canonical English citation identity for this atlas</w:t>
            </w:r>
          </w:p>
        </w:tc>
        <w:tc>
          <w:tcPr>
            <w:tcW w:type="dxa" w:w="3744"/>
            <w:vAlign w:val="center"/>
          </w:tcPr>
          <w:p>
            <w:pPr>
              <w:spacing w:after="0"/>
            </w:pPr>
            <w:r/>
            <w:r>
              <w:rPr>
                <w:b w:val="0"/>
                <w:sz w:val="16"/>
              </w:rPr>
              <w:t>PASS (working edition)</w:t>
            </w:r>
          </w:p>
        </w:tc>
        <w:tc>
          <w:tcPr>
            <w:tcW w:type="dxa" w:w="1440"/>
            <w:vAlign w:val="center"/>
          </w:tcPr>
          <w:p>
            <w:pPr>
              <w:spacing w:after="0"/>
            </w:pPr>
            <w:r/>
            <w:r>
              <w:rPr>
                <w:b w:val="0"/>
                <w:sz w:val="16"/>
              </w:rPr>
              <w:t>No</w:t>
            </w:r>
          </w:p>
        </w:tc>
      </w:tr>
      <w:tr>
        <w:tc>
          <w:tcPr>
            <w:tcW w:type="dxa" w:w="4752"/>
            <w:vAlign w:val="center"/>
          </w:tcPr>
          <w:p>
            <w:pPr>
              <w:spacing w:after="0"/>
            </w:pPr>
            <w:r/>
            <w:r>
              <w:rPr>
                <w:b w:val="0"/>
                <w:sz w:val="16"/>
              </w:rPr>
              <w:t>Equation/prior-art attribution ledger</w:t>
            </w:r>
          </w:p>
        </w:tc>
        <w:tc>
          <w:tcPr>
            <w:tcW w:type="dxa" w:w="3744"/>
            <w:vAlign w:val="center"/>
          </w:tcPr>
          <w:p>
            <w:pPr>
              <w:spacing w:after="0"/>
            </w:pPr>
            <w:r/>
            <w:r>
              <w:rPr>
                <w:b w:val="0"/>
                <w:sz w:val="16"/>
              </w:rPr>
              <w:t>PASS_BORNÉ</w:t>
            </w:r>
          </w:p>
        </w:tc>
        <w:tc>
          <w:tcPr>
            <w:tcW w:type="dxa" w:w="1440"/>
            <w:vAlign w:val="center"/>
          </w:tcPr>
          <w:p>
            <w:pPr>
              <w:spacing w:after="0"/>
            </w:pPr>
            <w:r/>
            <w:r>
              <w:rPr>
                <w:b w:val="0"/>
                <w:sz w:val="16"/>
              </w:rPr>
              <w:t>No, with bounded-search disclaimer</w:t>
            </w:r>
          </w:p>
        </w:tc>
      </w:tr>
      <w:tr>
        <w:tc>
          <w:tcPr>
            <w:tcW w:type="dxa" w:w="4752"/>
            <w:vAlign w:val="center"/>
          </w:tcPr>
          <w:p>
            <w:pPr>
              <w:spacing w:after="0"/>
            </w:pPr>
            <w:r/>
            <w:r>
              <w:rPr>
                <w:b w:val="0"/>
                <w:sz w:val="16"/>
              </w:rPr>
              <w:t>Formal non-equivalence / transformation certificates</w:t>
            </w:r>
          </w:p>
        </w:tc>
        <w:tc>
          <w:tcPr>
            <w:tcW w:type="dxa" w:w="3744"/>
            <w:vAlign w:val="center"/>
          </w:tcPr>
          <w:p>
            <w:pPr>
              <w:spacing w:after="0"/>
            </w:pPr>
            <w:r/>
            <w:r>
              <w:rPr>
                <w:b w:val="0"/>
                <w:sz w:val="16"/>
              </w:rPr>
              <w:t>PASS</w:t>
            </w:r>
          </w:p>
        </w:tc>
        <w:tc>
          <w:tcPr>
            <w:tcW w:type="dxa" w:w="1440"/>
            <w:vAlign w:val="center"/>
          </w:tcPr>
          <w:p>
            <w:pPr>
              <w:spacing w:after="0"/>
            </w:pPr>
            <w:r/>
            <w:r>
              <w:rPr>
                <w:b w:val="0"/>
                <w:sz w:val="16"/>
              </w:rPr>
              <w:t>No</w:t>
            </w:r>
          </w:p>
        </w:tc>
      </w:tr>
      <w:tr>
        <w:tc>
          <w:tcPr>
            <w:tcW w:type="dxa" w:w="4752"/>
            <w:vAlign w:val="center"/>
          </w:tcPr>
          <w:p>
            <w:pPr>
              <w:spacing w:after="0"/>
            </w:pPr>
            <w:r/>
            <w:r>
              <w:rPr>
                <w:b w:val="0"/>
                <w:sz w:val="16"/>
              </w:rPr>
              <w:t>Executable assembly ablation</w:t>
            </w:r>
          </w:p>
        </w:tc>
        <w:tc>
          <w:tcPr>
            <w:tcW w:type="dxa" w:w="3744"/>
            <w:vAlign w:val="center"/>
          </w:tcPr>
          <w:p>
            <w:pPr>
              <w:spacing w:after="0"/>
            </w:pPr>
            <w:r/>
            <w:r>
              <w:rPr>
                <w:b w:val="0"/>
                <w:sz w:val="16"/>
              </w:rPr>
              <w:t>PASS 6/6 synthetic audit tests</w:t>
            </w:r>
          </w:p>
        </w:tc>
        <w:tc>
          <w:tcPr>
            <w:tcW w:type="dxa" w:w="1440"/>
            <w:vAlign w:val="center"/>
          </w:tcPr>
          <w:p>
            <w:pPr>
              <w:spacing w:after="0"/>
            </w:pPr>
            <w:r/>
            <w:r>
              <w:rPr>
                <w:b w:val="0"/>
                <w:sz w:val="16"/>
              </w:rPr>
              <w:t>No</w:t>
            </w:r>
          </w:p>
        </w:tc>
      </w:tr>
      <w:tr>
        <w:tc>
          <w:tcPr>
            <w:tcW w:type="dxa" w:w="4752"/>
            <w:vAlign w:val="center"/>
          </w:tcPr>
          <w:p>
            <w:pPr>
              <w:spacing w:after="0"/>
            </w:pPr>
            <w:r/>
            <w:r>
              <w:rPr>
                <w:b w:val="0"/>
                <w:sz w:val="16"/>
              </w:rPr>
              <w:t>First preregistered empirical benchmark</w:t>
            </w:r>
          </w:p>
        </w:tc>
        <w:tc>
          <w:tcPr>
            <w:tcW w:type="dxa" w:w="3744"/>
            <w:vAlign w:val="center"/>
          </w:tcPr>
          <w:p>
            <w:pPr>
              <w:spacing w:after="0"/>
            </w:pPr>
            <w:r/>
            <w:r>
              <w:rPr>
                <w:b w:val="0"/>
                <w:sz w:val="16"/>
              </w:rPr>
              <w:t>BLOCKED / NON_MESURÉ</w:t>
            </w:r>
          </w:p>
        </w:tc>
        <w:tc>
          <w:tcPr>
            <w:tcW w:type="dxa" w:w="1440"/>
            <w:vAlign w:val="center"/>
          </w:tcPr>
          <w:p>
            <w:pPr>
              <w:spacing w:after="0"/>
            </w:pPr>
            <w:r/>
            <w:r>
              <w:rPr>
                <w:b w:val="0"/>
                <w:sz w:val="16"/>
              </w:rPr>
              <w:t>Yes for empirical-performance claims</w:t>
            </w:r>
          </w:p>
        </w:tc>
      </w:tr>
      <w:tr>
        <w:tc>
          <w:tcPr>
            <w:tcW w:type="dxa" w:w="4752"/>
            <w:vAlign w:val="center"/>
          </w:tcPr>
          <w:p>
            <w:pPr>
              <w:spacing w:after="0"/>
            </w:pPr>
            <w:r/>
            <w:r>
              <w:rPr>
                <w:b w:val="0"/>
                <w:sz w:val="16"/>
              </w:rPr>
              <w:t>π/μ natural-language executable</w:t>
            </w:r>
          </w:p>
        </w:tc>
        <w:tc>
          <w:tcPr>
            <w:tcW w:type="dxa" w:w="3744"/>
            <w:vAlign w:val="center"/>
          </w:tcPr>
          <w:p>
            <w:pPr>
              <w:spacing w:after="0"/>
            </w:pPr>
            <w:r/>
            <w:r>
              <w:rPr>
                <w:b w:val="0"/>
                <w:sz w:val="16"/>
              </w:rPr>
              <w:t>ABSENT PUBLICLY</w:t>
            </w:r>
          </w:p>
        </w:tc>
        <w:tc>
          <w:tcPr>
            <w:tcW w:type="dxa" w:w="1440"/>
            <w:vAlign w:val="center"/>
          </w:tcPr>
          <w:p>
            <w:pPr>
              <w:spacing w:after="0"/>
            </w:pPr>
            <w:r/>
            <w:r>
              <w:rPr>
                <w:b w:val="0"/>
                <w:sz w:val="16"/>
              </w:rPr>
              <w:t>Yes for robustness-performance claims</w:t>
            </w:r>
          </w:p>
        </w:tc>
      </w:tr>
      <w:tr>
        <w:tc>
          <w:tcPr>
            <w:tcW w:type="dxa" w:w="4752"/>
            <w:vAlign w:val="center"/>
          </w:tcPr>
          <w:p>
            <w:pPr>
              <w:spacing w:after="0"/>
            </w:pPr>
            <w:r/>
            <w:r>
              <w:rPr>
                <w:b w:val="0"/>
                <w:sz w:val="16"/>
              </w:rPr>
              <w:t>18526755 authoritative identity</w:t>
            </w:r>
          </w:p>
        </w:tc>
        <w:tc>
          <w:tcPr>
            <w:tcW w:type="dxa" w:w="3744"/>
            <w:vAlign w:val="center"/>
          </w:tcPr>
          <w:p>
            <w:pPr>
              <w:spacing w:after="0"/>
            </w:pPr>
            <w:r/>
            <w:r>
              <w:rPr>
                <w:b w:val="0"/>
                <w:sz w:val="16"/>
              </w:rPr>
              <w:t>UNRESOLVED</w:t>
            </w:r>
          </w:p>
        </w:tc>
        <w:tc>
          <w:tcPr>
            <w:tcW w:type="dxa" w:w="1440"/>
            <w:vAlign w:val="center"/>
          </w:tcPr>
          <w:p>
            <w:pPr>
              <w:spacing w:after="0"/>
            </w:pPr>
            <w:r/>
            <w:r>
              <w:rPr>
                <w:b w:val="0"/>
                <w:sz w:val="16"/>
              </w:rPr>
              <w:t>Yes for canonical citation use</w:t>
            </w:r>
          </w:p>
        </w:tc>
      </w:tr>
      <w:tr>
        <w:tc>
          <w:tcPr>
            <w:tcW w:type="dxa" w:w="4752"/>
            <w:vAlign w:val="center"/>
          </w:tcPr>
          <w:p>
            <w:pPr>
              <w:spacing w:after="0"/>
            </w:pPr>
            <w:r/>
            <w:r>
              <w:rPr>
                <w:b w:val="0"/>
                <w:sz w:val="16"/>
              </w:rPr>
              <w:t>18499943 licence consistency</w:t>
            </w:r>
          </w:p>
        </w:tc>
        <w:tc>
          <w:tcPr>
            <w:tcW w:type="dxa" w:w="3744"/>
            <w:vAlign w:val="center"/>
          </w:tcPr>
          <w:p>
            <w:pPr>
              <w:spacing w:after="0"/>
            </w:pPr>
            <w:r/>
            <w:r>
              <w:rPr>
                <w:b w:val="0"/>
                <w:sz w:val="16"/>
              </w:rPr>
              <w:t>UNRESOLVED</w:t>
            </w:r>
          </w:p>
        </w:tc>
        <w:tc>
          <w:tcPr>
            <w:tcW w:type="dxa" w:w="1440"/>
            <w:vAlign w:val="center"/>
          </w:tcPr>
          <w:p>
            <w:pPr>
              <w:spacing w:after="0"/>
            </w:pPr>
            <w:r/>
            <w:r>
              <w:rPr>
                <w:b w:val="0"/>
                <w:sz w:val="16"/>
              </w:rPr>
              <w:t>Yes for unambiguous reuse statement</w:t>
            </w:r>
          </w:p>
        </w:tc>
      </w:tr>
      <w:tr>
        <w:tc>
          <w:tcPr>
            <w:tcW w:type="dxa" w:w="4752"/>
            <w:vAlign w:val="center"/>
          </w:tcPr>
          <w:p>
            <w:pPr>
              <w:spacing w:after="0"/>
            </w:pPr>
            <w:r/>
            <w:r>
              <w:rPr>
                <w:b w:val="0"/>
                <w:sz w:val="16"/>
              </w:rPr>
              <w:t>Final PDF/HTML/hreflang/Scholar tags/checksums</w:t>
            </w:r>
          </w:p>
        </w:tc>
        <w:tc>
          <w:tcPr>
            <w:tcW w:type="dxa" w:w="3744"/>
            <w:vAlign w:val="center"/>
          </w:tcPr>
          <w:p>
            <w:pPr>
              <w:spacing w:after="0"/>
            </w:pPr>
            <w:r/>
            <w:r>
              <w:rPr>
                <w:b w:val="0"/>
                <w:sz w:val="16"/>
              </w:rPr>
              <w:t>PASS 10 task</w:t>
            </w:r>
          </w:p>
        </w:tc>
        <w:tc>
          <w:tcPr>
            <w:tcW w:type="dxa" w:w="1440"/>
            <w:vAlign w:val="center"/>
          </w:tcPr>
          <w:p>
            <w:pPr>
              <w:spacing w:after="0"/>
            </w:pPr>
            <w:r/>
            <w:r>
              <w:rPr>
                <w:b w:val="0"/>
                <w:sz w:val="16"/>
              </w:rPr>
              <w:t>Yes for publication package</w:t>
            </w:r>
          </w:p>
        </w:tc>
      </w:tr>
    </w:tbl>
    <w:p>
      <w:pPr>
        <w:sectPr>
          <w:headerReference w:type="default" r:id="rId24"/>
          <w:pgSz w:w="11909" w:h="16834"/>
          <w:pgMar w:top="936" w:right="1008" w:bottom="936" w:left="1008" w:header="720" w:footer="720" w:gutter="0"/>
          <w:cols w:space="720"/>
          <w:docGrid w:linePitch="360"/>
        </w:sectPr>
      </w:pPr>
    </w:p>
    <w:p>
      <w:pPr>
        <w:pStyle w:val="Heading1"/>
      </w:pPr>
      <w:r>
        <w:t>69. Pass 9 conclusions</w:t>
      </w:r>
    </w:p>
    <w:p>
      <w:pPr>
        <w:pStyle w:val="ListBullet"/>
      </w:pPr>
      <w:r>
        <w:t>PREREGISTRATION ACHIEVED — A complete C-MAPSS FD001 proxy map, split, preprocessing, comparator and falsification rule were frozen and SHA-512 sealed before outcome-value inspection.</w:t>
      </w:r>
    </w:p>
    <w:p>
      <w:pPr>
        <w:pStyle w:val="ListBullet"/>
      </w:pPr>
      <w:r>
        <w:t>CONFIRMATORY METRICS NOT FABRICATED — Complete benchmark bytes could not be acquired into the current execution runtime. Because the frozen protocol requires all held-out engines 51–100, the correct result is BLOCKED / NON_MESURÉ.</w:t>
      </w:r>
    </w:p>
    <w:p>
      <w:pPr>
        <w:pStyle w:val="ListBullet"/>
      </w:pPr>
      <w:r>
        <w:t>EXECUTABLE ABLATION ACHIEVED — 6/6 synthetic unit tests pass and mechanically reproduce the component-removal effects specified in Pass 8. The harness is new audit code, not historical Zoran evidence.</w:t>
      </w:r>
    </w:p>
    <w:p>
      <w:pPr>
        <w:pStyle w:val="ListBullet"/>
      </w:pPr>
      <w:r>
        <w:t>π/μ STATUS CLOSED PUBLICLY — the connected DOI 18500363 surface is a specification/test-plan package, not an executable natural-language evaluator. Its robustness rates remain NON_MESURÉ.</w:t>
      </w:r>
    </w:p>
    <w:p>
      <w:pPr>
        <w:pStyle w:val="ListBullet"/>
      </w:pPr>
      <w:r>
        <w:t>ASSEMBLY PRIORITY NARROWED AGAIN — Simplex, PROV-O, temporal runtime assurance, distributed assurance, dynamic assurance cases, selective prediction and ELECTRE cover the major functions before Zoran. No exact full antecedent is certified here, but world-first remains NOT ESTABLISHED.</w:t>
      </w:r>
    </w:p>
    <w:p>
      <w:pPr>
        <w:pStyle w:val="ListBullet"/>
      </w:pPr>
      <w:r>
        <w:t>PUBLICATION DEBTS REMAIN REAL — 18526755 identity and 18499943 licence consistency remain blocking metadata issues; neither is silently normalized in this atlas.</w:t>
      </w:r>
    </w:p>
    <w:p>
      <w:pPr>
        <w:pStyle w:val="ListBullet"/>
      </w:pPr>
      <w:r>
        <w:t>PASS 9 DOES NOT CERTIFY S&gt;9 — document-level β, ΔΦ, T and σ are still not independently calibrated audit observables.</w:t>
      </w:r>
    </w:p>
    <w:p>
      <w:pPr>
        <w:pStyle w:val="Heading1"/>
      </w:pPr>
      <w:r>
        <w:t>70. Pass 9 sources and audit artefacts</w:t>
      </w:r>
    </w:p>
    <w:p>
      <w:pPr>
        <w:pStyle w:val="ListBullet"/>
      </w:pPr>
      <w:r>
        <w:t>NASA C-MAPSS Turbofan Engine Degradation Simulation Data Set; public FD001 description and original train_FD001 public mirrors. Original citation: Saxena, Goebel, Simon &amp; Eklund, PHM08 (2008).</w:t>
      </w:r>
    </w:p>
    <w:p>
      <w:pPr>
        <w:pStyle w:val="ListBullet"/>
      </w:pPr>
      <w:r>
        <w:t>Hugging Face mirror: kemhug11/nasa-cmapss-rul, CC0-1.0 dataset card; FD001 documented as 100 train / 100 test, one operating condition, one HPC fault; train_FD001.csv contains precomputed RUL.</w:t>
      </w:r>
    </w:p>
    <w:p>
      <w:pPr>
        <w:pStyle w:val="ListBullet"/>
      </w:pPr>
      <w:r>
        <w:t>Zoran public corpus DOI 10.5281/zenodo.18500363: README.md, axioms.md, metadata.json, tests.md, white_paper.md.</w:t>
      </w:r>
    </w:p>
    <w:p>
      <w:pPr>
        <w:pStyle w:val="ListBullet"/>
      </w:pPr>
      <w:r>
        <w:t>W3C. PROV-O: The PROV Ontology. W3C Recommendation, 30 April 2013.</w:t>
      </w:r>
    </w:p>
    <w:p>
      <w:pPr>
        <w:pStyle w:val="ListBullet"/>
      </w:pPr>
      <w:r>
        <w:t>Abate, M., Feron, E. &amp; Coogan, S. Monitor-Based Runtime Assurance for Temporal Logic Specifications. arXiv:1908.03284 (2019).</w:t>
      </w:r>
    </w:p>
    <w:p>
      <w:pPr>
        <w:pStyle w:val="ListBullet"/>
      </w:pPr>
      <w:r>
        <w:t>Mehmood, U. et al. A Distributed Simplex Architecture for Multi-Agent Systems. arXiv:2012.10153 (2020); Journal of Systems Architecture 134, 102784 (2023).</w:t>
      </w:r>
    </w:p>
    <w:p>
      <w:pPr>
        <w:pStyle w:val="ListBullet"/>
      </w:pPr>
      <w:r>
        <w:t>NASA Ames: Dynamic Assurance of Autonomous Systems through Ground Control Software (SciTech 2024).</w:t>
      </w:r>
    </w:p>
    <w:p>
      <w:pPr>
        <w:pStyle w:val="ListBullet"/>
      </w:pPr>
      <w:r>
        <w:t>Zoran Atlas public page inspected 26 Aug 2026: 18526755 listed as “Tenseur d’Amari-Chentsov et saturation MCP”.</w:t>
      </w:r>
    </w:p>
    <w:p>
      <w:pPr>
        <w:pStyle w:val="ListBullet"/>
      </w:pPr>
      <w:r>
        <w:t>Pass-9 audit files: pass9_prereg_proxy_cmapss_fd001.json; pass9_cmapss_access_certificate.json; pass9_pi_mu_closure.json; pass9_executable_assembly_ablation.py/results.json; pass9_prior_art_fixed_conjunction.json; pass9_audit_manifest_sha512.json.</w:t>
      </w:r>
    </w:p>
    <w:p>
      <w:pPr>
        <w:pStyle w:val="Heading1"/>
      </w:pPr>
      <w:r>
        <w:t>71. Work carried to Pass 10/10 — final publication gate</w:t>
      </w:r>
    </w:p>
    <w:p>
      <w:pPr>
        <w:pStyle w:val="ListBullet"/>
      </w:pPr>
      <w:r>
        <w:t>Execute the already sealed C-MAPSS FD001 protocol only if the complete public training file is available as executable bytes; otherwise preserve NON_MESURÉ in the final edition without substitution.</w:t>
      </w:r>
    </w:p>
    <w:p>
      <w:pPr>
        <w:pStyle w:val="ListBullet"/>
      </w:pPr>
      <w:r>
        <w:t>Resolve DOI 18526755 from Zenodo/DataCite authority and either correct the Zoran mirror/citations or mark the conflicting identity permanently in the final bibliography.</w:t>
      </w:r>
    </w:p>
    <w:p>
      <w:pPr>
        <w:pStyle w:val="ListBullet"/>
      </w:pPr>
      <w:r>
        <w:t>Reconcile DOI 18499943 licence metadata and embedded licence wording, or explicitly state that reuse rights are ambiguous pending author/depositor clarification.</w:t>
      </w:r>
    </w:p>
    <w:p>
      <w:pPr>
        <w:pStyle w:val="ListBullet"/>
      </w:pPr>
      <w:r>
        <w:t>Freeze final claims language: CLOSED, VERIFIED, REPRODUCED, PASS_BORNÉ, OPEN, NON_MESURÉ; remove every sentence that exceeds its evidence class.</w:t>
      </w:r>
    </w:p>
    <w:p>
      <w:pPr>
        <w:pStyle w:val="ListBullet"/>
      </w:pPr>
      <w:r>
        <w:t>Normalize references, dates, titles, DOI links, ORCID, author form, figure/table labels and mathematical notation across the full document.</w:t>
      </w:r>
    </w:p>
    <w:p>
      <w:pPr>
        <w:pStyle w:val="ListBullet"/>
      </w:pPr>
      <w:r>
        <w:t>Build final Google/Scholar package: stable PDF, canonical HTML landing page, six hreflang pages, citation_* meta tags, JSON-LD, BibTeX/CFF, sitemap, checksums and machine-readable audit manifest.</w:t>
      </w:r>
    </w:p>
    <w:p>
      <w:pPr>
        <w:pStyle w:val="ListBullet"/>
      </w:pPr>
      <w:r>
        <w:t>Run full-page visual QA, accessibility audit, metadata/privacy audit and final SHA-512 seal before release.</w:t>
      </w:r>
    </w:p>
    <w:p>
      <w:pPr>
        <w:spacing w:after="120"/>
      </w:pPr>
      <w:r>
        <w:t>Working canonical gauge retained: S = (β × ΔΦ) / (T × σ × 1). The ×1 factor is mathematically neutral. Pass 9 does not assign a document-level numeric S because the audit operands are not independently calibrated measurements.</w:t>
      </w:r>
    </w:p>
    <w:sectPr w:rsidR="00FC693F" w:rsidRPr="0006063C" w:rsidSect="00034616">
      <w:headerReference w:type="default" r:id="rId25"/>
      <w:pgSz w:w="11909" w:h="16834"/>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6E6E6E"/>
        <w:sz w:val="15"/>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1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1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1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1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1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1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1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header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WORLD ATLAS OF COHERENCE EQUATIONS  |  Working White Paper  |  Pass 9/10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18324A"/>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w:hAnsi="Aptos"/>
      <w:b/>
      <w:bCs/>
      <w:color w:val="2C5364"/>
      <w:sz w:val="23"/>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365F7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8324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4A6572"/>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Cambria" w:hAnsi="Cambria"/>
      <w:b/>
      <w:bCs/>
      <w:i/>
      <w:color w:val="5A5A5A"/>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ibliography">
    <w:name w:val="Bibliography"/>
    <w:rPr>
      <w:rFonts w:ascii="Cambria" w:hAnsi="Cambria"/>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header" Target="header8.xml"/><Relationship Id="rId18" Type="http://schemas.openxmlformats.org/officeDocument/2006/relationships/header" Target="header9.xml"/><Relationship Id="rId19" Type="http://schemas.openxmlformats.org/officeDocument/2006/relationships/header" Target="header10.xml"/><Relationship Id="rId20" Type="http://schemas.openxmlformats.org/officeDocument/2006/relationships/header" Target="header11.xml"/><Relationship Id="rId21" Type="http://schemas.openxmlformats.org/officeDocument/2006/relationships/header" Target="header12.xml"/><Relationship Id="rId22" Type="http://schemas.openxmlformats.org/officeDocument/2006/relationships/header" Target="header13.xml"/><Relationship Id="rId23" Type="http://schemas.openxmlformats.org/officeDocument/2006/relationships/header" Target="header14.xml"/><Relationship Id="rId24" Type="http://schemas.openxmlformats.org/officeDocument/2006/relationships/header" Target="header15.xml"/><Relationship Id="rId2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Atlas of Coherence Equations — Pass 9/10</dc:title>
  <dc:subject>Phenomenal coherence, persistence, admissibility, kinematics, falsification, preregistration and comparative equations</dc:subject>
  <dc:creator>Frédéric Tabary</dc:creator>
  <cp:keywords>coherence equations, phenomenal coherence, admissibility, persistence, reachability, preregistration, C-MAPSS, falsification, Zoran, Pass 9</cp:keywords>
  <dc:description>Working comparative preprint; Pass 9/10; generated 26 August 2026.</dc:description>
  <cp:lastModifiedBy/>
  <cp:revision>1</cp:revision>
  <dcterms:created xsi:type="dcterms:W3CDTF">2013-12-23T23:15:00Z</dcterms:created>
  <dcterms:modified xsi:type="dcterms:W3CDTF">2013-12-23T23:15:00Z</dcterms:modified>
  <cp:category>Scientific working paper / comparative preprint</cp:category>
</cp:coreProperties>
</file>